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15" w:rsidRDefault="00CF3015">
      <w:pPr>
        <w:pStyle w:val="BodyText"/>
        <w:jc w:val="center"/>
        <w:rPr>
          <w:i w:val="0"/>
        </w:rPr>
      </w:pPr>
      <w:bookmarkStart w:id="0" w:name="_GoBack"/>
      <w:bookmarkEnd w:id="0"/>
      <w:r>
        <w:rPr>
          <w:i w:val="0"/>
        </w:rPr>
        <w:t xml:space="preserve">Oral Cancer--Minimal Elements for </w:t>
      </w:r>
    </w:p>
    <w:p w:rsidR="00CF3015" w:rsidRDefault="00CF3015">
      <w:pPr>
        <w:pStyle w:val="BodyText"/>
        <w:jc w:val="center"/>
        <w:rPr>
          <w:i w:val="0"/>
        </w:rPr>
      </w:pPr>
      <w:r>
        <w:rPr>
          <w:i w:val="0"/>
        </w:rPr>
        <w:t xml:space="preserve">Screening, Diagnosis, </w:t>
      </w:r>
      <w:r w:rsidR="006C6498">
        <w:rPr>
          <w:i w:val="0"/>
        </w:rPr>
        <w:t>and Evaluation</w:t>
      </w:r>
      <w:r w:rsidR="009B3E5F">
        <w:rPr>
          <w:i w:val="0"/>
        </w:rPr>
        <w:t xml:space="preserve"> of Oral Lesions</w:t>
      </w:r>
    </w:p>
    <w:p w:rsidR="00CF3015" w:rsidRDefault="00CF3015">
      <w:pPr>
        <w:pStyle w:val="BodyText"/>
        <w:jc w:val="center"/>
        <w:rPr>
          <w:i w:val="0"/>
        </w:rPr>
      </w:pPr>
      <w:r>
        <w:rPr>
          <w:i w:val="0"/>
        </w:rPr>
        <w:t>Office of Oral Health and Center for Cancer Prevention and Control</w:t>
      </w:r>
    </w:p>
    <w:p w:rsidR="00CF3015" w:rsidRDefault="00CF3015">
      <w:pPr>
        <w:pStyle w:val="BodyText"/>
        <w:jc w:val="center"/>
        <w:rPr>
          <w:i w:val="0"/>
        </w:rPr>
      </w:pPr>
      <w:r>
        <w:rPr>
          <w:i w:val="0"/>
        </w:rPr>
        <w:t>Maryland Department of Health and Mental Hygiene</w:t>
      </w:r>
    </w:p>
    <w:p w:rsidR="00CF3015" w:rsidRDefault="00CF3015">
      <w:pPr>
        <w:pStyle w:val="BodyText"/>
        <w:pBdr>
          <w:bottom w:val="single" w:sz="12" w:space="1" w:color="auto"/>
        </w:pBdr>
        <w:jc w:val="center"/>
        <w:rPr>
          <w:i w:val="0"/>
        </w:rPr>
      </w:pPr>
      <w:r>
        <w:rPr>
          <w:i w:val="0"/>
        </w:rPr>
        <w:t xml:space="preserve">August 2001; Revised July 2005; Revised </w:t>
      </w:r>
      <w:r w:rsidR="007A4D04">
        <w:rPr>
          <w:i w:val="0"/>
        </w:rPr>
        <w:t>January 2014</w:t>
      </w:r>
    </w:p>
    <w:p w:rsidR="00CF3015" w:rsidRDefault="00CF3015">
      <w:pPr>
        <w:pStyle w:val="BodyText"/>
        <w:pBdr>
          <w:bottom w:val="single" w:sz="12" w:space="1" w:color="auto"/>
        </w:pBdr>
        <w:jc w:val="center"/>
        <w:rPr>
          <w:i w:val="0"/>
        </w:rPr>
      </w:pPr>
    </w:p>
    <w:p w:rsidR="00CF3015" w:rsidRDefault="00CF3015">
      <w:pPr>
        <w:jc w:val="center"/>
        <w:rPr>
          <w:sz w:val="24"/>
        </w:rPr>
      </w:pPr>
    </w:p>
    <w:p w:rsidR="00CF3015" w:rsidRDefault="00CF3015">
      <w:pPr>
        <w:rPr>
          <w:sz w:val="24"/>
        </w:rPr>
      </w:pPr>
      <w:r>
        <w:rPr>
          <w:sz w:val="24"/>
        </w:rPr>
        <w:t xml:space="preserve">These are the current minimal elements to be used by the Oral Cancer Screening Programs subject to </w:t>
      </w:r>
      <w:r w:rsidR="00BB05D9">
        <w:rPr>
          <w:sz w:val="24"/>
        </w:rPr>
        <w:t xml:space="preserve">any </w:t>
      </w:r>
      <w:r>
        <w:rPr>
          <w:sz w:val="24"/>
        </w:rPr>
        <w:t xml:space="preserve">new screening and diagnostic tools that </w:t>
      </w:r>
      <w:r w:rsidR="00BA1167">
        <w:rPr>
          <w:sz w:val="24"/>
        </w:rPr>
        <w:t>may</w:t>
      </w:r>
      <w:r>
        <w:rPr>
          <w:sz w:val="24"/>
        </w:rPr>
        <w:t xml:space="preserve"> become available.</w:t>
      </w:r>
    </w:p>
    <w:p w:rsidR="00CF3015" w:rsidRDefault="00CF3015">
      <w:pPr>
        <w:rPr>
          <w:sz w:val="24"/>
        </w:rPr>
      </w:pPr>
    </w:p>
    <w:p w:rsidR="00CF3015" w:rsidRPr="004F122B" w:rsidRDefault="00CF3015">
      <w:pPr>
        <w:pStyle w:val="Heading1"/>
        <w:rPr>
          <w:b/>
          <w:i w:val="0"/>
        </w:rPr>
      </w:pPr>
      <w:r w:rsidRPr="004F122B">
        <w:rPr>
          <w:b/>
          <w:i w:val="0"/>
        </w:rPr>
        <w:t>Definition</w:t>
      </w:r>
      <w:r w:rsidR="004F122B" w:rsidRPr="004F122B">
        <w:rPr>
          <w:b/>
          <w:i w:val="0"/>
        </w:rPr>
        <w:t>s</w:t>
      </w:r>
      <w:r w:rsidRPr="004F122B">
        <w:rPr>
          <w:b/>
          <w:i w:val="0"/>
        </w:rPr>
        <w:t xml:space="preserve"> </w:t>
      </w:r>
      <w:r w:rsidR="004F122B" w:rsidRPr="004F122B">
        <w:rPr>
          <w:b/>
          <w:i w:val="0"/>
        </w:rPr>
        <w:t>f</w:t>
      </w:r>
      <w:r w:rsidR="004F122B" w:rsidRPr="00CE10F7">
        <w:rPr>
          <w:b/>
          <w:i w:val="0"/>
        </w:rPr>
        <w:t>or the purposes of the Minimal Elements</w:t>
      </w:r>
    </w:p>
    <w:p w:rsidR="00CF3015" w:rsidRDefault="00CF3015" w:rsidP="00BF458E">
      <w:pPr>
        <w:pStyle w:val="ListParagraph"/>
        <w:numPr>
          <w:ilvl w:val="0"/>
          <w:numId w:val="12"/>
        </w:numPr>
        <w:rPr>
          <w:snapToGrid w:val="0"/>
          <w:sz w:val="24"/>
        </w:rPr>
      </w:pPr>
      <w:r w:rsidRPr="00CE10F7">
        <w:rPr>
          <w:b/>
          <w:sz w:val="24"/>
        </w:rPr>
        <w:t>Oral cancer</w:t>
      </w:r>
      <w:r w:rsidR="004F122B">
        <w:rPr>
          <w:sz w:val="24"/>
        </w:rPr>
        <w:t xml:space="preserve"> </w:t>
      </w:r>
      <w:r w:rsidRPr="00CE10F7">
        <w:rPr>
          <w:sz w:val="24"/>
        </w:rPr>
        <w:t xml:space="preserve">is defined as </w:t>
      </w:r>
      <w:r w:rsidRPr="00CE10F7">
        <w:rPr>
          <w:snapToGrid w:val="0"/>
          <w:sz w:val="24"/>
        </w:rPr>
        <w:t xml:space="preserve">cancer of the mouth and pharynx in direct field of view or of palpation including cancer of the lips, anterior 2/3 of the tongue, floor of the mouth, palate, gingiva, alveolar mucosa, </w:t>
      </w:r>
      <w:proofErr w:type="spellStart"/>
      <w:r w:rsidRPr="00CE10F7">
        <w:rPr>
          <w:snapToGrid w:val="0"/>
          <w:sz w:val="24"/>
        </w:rPr>
        <w:t>buccal</w:t>
      </w:r>
      <w:proofErr w:type="spellEnd"/>
      <w:r w:rsidRPr="00CE10F7">
        <w:rPr>
          <w:snapToGrid w:val="0"/>
          <w:sz w:val="24"/>
        </w:rPr>
        <w:t xml:space="preserve"> mucosa, tonsils, uvula, or salivary glands.  (Note this definition omits </w:t>
      </w:r>
      <w:r w:rsidR="0059749B">
        <w:rPr>
          <w:snapToGrid w:val="0"/>
          <w:sz w:val="24"/>
        </w:rPr>
        <w:t>portions of the</w:t>
      </w:r>
      <w:r w:rsidR="0059749B" w:rsidRPr="00CE10F7">
        <w:rPr>
          <w:snapToGrid w:val="0"/>
          <w:sz w:val="24"/>
        </w:rPr>
        <w:t xml:space="preserve"> </w:t>
      </w:r>
      <w:r w:rsidRPr="00CE10F7">
        <w:rPr>
          <w:snapToGrid w:val="0"/>
          <w:sz w:val="24"/>
        </w:rPr>
        <w:t xml:space="preserve">oropharynx that </w:t>
      </w:r>
      <w:r w:rsidR="0059749B">
        <w:rPr>
          <w:snapToGrid w:val="0"/>
          <w:sz w:val="24"/>
        </w:rPr>
        <w:t>are</w:t>
      </w:r>
      <w:r w:rsidRPr="00CE10F7">
        <w:rPr>
          <w:snapToGrid w:val="0"/>
          <w:sz w:val="24"/>
        </w:rPr>
        <w:t xml:space="preserve"> not in the direct field of view or of palpation.)</w:t>
      </w:r>
    </w:p>
    <w:p w:rsidR="00460045" w:rsidRDefault="00460045" w:rsidP="00CE10F7">
      <w:pPr>
        <w:pStyle w:val="ListParagraph"/>
        <w:ind w:left="1080"/>
        <w:rPr>
          <w:snapToGrid w:val="0"/>
          <w:sz w:val="24"/>
        </w:rPr>
      </w:pPr>
    </w:p>
    <w:p w:rsidR="00BB6415" w:rsidRDefault="00BB6415" w:rsidP="00BF458E">
      <w:pPr>
        <w:pStyle w:val="ListParagraph"/>
        <w:numPr>
          <w:ilvl w:val="0"/>
          <w:numId w:val="12"/>
        </w:numPr>
        <w:rPr>
          <w:sz w:val="24"/>
        </w:rPr>
      </w:pPr>
      <w:r w:rsidRPr="00BB5483">
        <w:rPr>
          <w:b/>
          <w:sz w:val="24"/>
        </w:rPr>
        <w:t xml:space="preserve">Medical Case Manager </w:t>
      </w:r>
      <w:r w:rsidRPr="00CE10F7">
        <w:rPr>
          <w:sz w:val="24"/>
        </w:rPr>
        <w:t xml:space="preserve">is the person who is </w:t>
      </w:r>
      <w:r w:rsidR="00460045" w:rsidRPr="00CE10F7">
        <w:rPr>
          <w:sz w:val="24"/>
        </w:rPr>
        <w:t>t</w:t>
      </w:r>
      <w:r w:rsidRPr="00CE10F7">
        <w:rPr>
          <w:sz w:val="24"/>
        </w:rPr>
        <w:t xml:space="preserve">he medical provider (e.g., </w:t>
      </w:r>
      <w:r w:rsidR="002C3A6D">
        <w:rPr>
          <w:sz w:val="24"/>
        </w:rPr>
        <w:t xml:space="preserve">oral surgeon, </w:t>
      </w:r>
      <w:r w:rsidRPr="00CE10F7">
        <w:rPr>
          <w:sz w:val="24"/>
        </w:rPr>
        <w:t>physician</w:t>
      </w:r>
      <w:r w:rsidR="002C3A6D">
        <w:rPr>
          <w:sz w:val="24"/>
        </w:rPr>
        <w:t>,</w:t>
      </w:r>
      <w:r w:rsidRPr="00CE10F7">
        <w:rPr>
          <w:sz w:val="24"/>
        </w:rPr>
        <w:t xml:space="preserve"> nurse practitioner) who </w:t>
      </w:r>
      <w:r w:rsidRPr="00CE10F7">
        <w:rPr>
          <w:bCs/>
          <w:sz w:val="24"/>
        </w:rPr>
        <w:t xml:space="preserve">makes medical decisions </w:t>
      </w:r>
      <w:r w:rsidRPr="00CE10F7">
        <w:rPr>
          <w:sz w:val="24"/>
        </w:rPr>
        <w:t xml:space="preserve">about the patient and </w:t>
      </w:r>
      <w:r w:rsidRPr="00CE10F7">
        <w:rPr>
          <w:bCs/>
          <w:sz w:val="24"/>
        </w:rPr>
        <w:t>assumes liabilit</w:t>
      </w:r>
      <w:r w:rsidR="00460045" w:rsidRPr="00CE10F7">
        <w:rPr>
          <w:sz w:val="24"/>
        </w:rPr>
        <w:t>y for those decisions.  The Medical Case Manager m</w:t>
      </w:r>
      <w:r w:rsidRPr="00CE10F7">
        <w:rPr>
          <w:sz w:val="24"/>
        </w:rPr>
        <w:t>ay be one provider or several for a single patient depending on the services required</w:t>
      </w:r>
      <w:r w:rsidR="00460045">
        <w:rPr>
          <w:sz w:val="24"/>
        </w:rPr>
        <w:t>.</w:t>
      </w:r>
    </w:p>
    <w:p w:rsidR="00DF74F5" w:rsidRPr="00CE10F7" w:rsidRDefault="00DF74F5" w:rsidP="00CE10F7">
      <w:pPr>
        <w:pStyle w:val="ListParagraph"/>
        <w:rPr>
          <w:sz w:val="24"/>
        </w:rPr>
      </w:pPr>
    </w:p>
    <w:p w:rsidR="00DF74F5" w:rsidRPr="00820915" w:rsidRDefault="001D558F" w:rsidP="00BF458E">
      <w:pPr>
        <w:pStyle w:val="ListParagraph"/>
        <w:numPr>
          <w:ilvl w:val="0"/>
          <w:numId w:val="12"/>
        </w:numPr>
        <w:rPr>
          <w:sz w:val="24"/>
        </w:rPr>
      </w:pPr>
      <w:r>
        <w:rPr>
          <w:b/>
          <w:sz w:val="24"/>
        </w:rPr>
        <w:t>Signs and s</w:t>
      </w:r>
      <w:r w:rsidR="00DF74F5" w:rsidRPr="00820915">
        <w:rPr>
          <w:b/>
          <w:sz w:val="24"/>
        </w:rPr>
        <w:t>ymptoms of oral cancer</w:t>
      </w:r>
      <w:r w:rsidR="00DF74F5" w:rsidRPr="00820915">
        <w:rPr>
          <w:sz w:val="24"/>
        </w:rPr>
        <w:t xml:space="preserve">.  </w:t>
      </w:r>
      <w:r>
        <w:rPr>
          <w:sz w:val="24"/>
        </w:rPr>
        <w:t>Signs and s</w:t>
      </w:r>
      <w:r w:rsidR="00DF74F5" w:rsidRPr="00820915">
        <w:rPr>
          <w:sz w:val="24"/>
        </w:rPr>
        <w:t>ymptoms of</w:t>
      </w:r>
      <w:r w:rsidR="002C3A6D" w:rsidRPr="00820915">
        <w:rPr>
          <w:sz w:val="24"/>
        </w:rPr>
        <w:t xml:space="preserve"> oral cancer include</w:t>
      </w:r>
      <w:r w:rsidR="00DF74F5" w:rsidRPr="00820915">
        <w:rPr>
          <w:sz w:val="24"/>
        </w:rPr>
        <w:t xml:space="preserve"> the following list below (</w:t>
      </w:r>
      <w:r w:rsidR="00346AE4" w:rsidRPr="00820915">
        <w:rPr>
          <w:sz w:val="24"/>
        </w:rPr>
        <w:t xml:space="preserve">modified from </w:t>
      </w:r>
      <w:hyperlink r:id="rId9" w:history="1">
        <w:r w:rsidR="00DF74F5" w:rsidRPr="00820915">
          <w:rPr>
            <w:rStyle w:val="Hyperlink"/>
            <w:sz w:val="24"/>
          </w:rPr>
          <w:t>www.cancer.gov/cancertopics/wyntk/oral/</w:t>
        </w:r>
      </w:hyperlink>
      <w:r w:rsidR="00DF74F5" w:rsidRPr="00820915">
        <w:rPr>
          <w:sz w:val="24"/>
        </w:rPr>
        <w:t>).</w:t>
      </w:r>
      <w:proofErr w:type="gramStart"/>
      <w:r w:rsidR="00004193" w:rsidRPr="00004193">
        <w:rPr>
          <w:sz w:val="24"/>
          <w:vertAlign w:val="superscript"/>
        </w:rPr>
        <w:t>1</w:t>
      </w:r>
      <w:r w:rsidR="00DF74F5" w:rsidRPr="00820915">
        <w:rPr>
          <w:sz w:val="24"/>
        </w:rPr>
        <w:t xml:space="preserve">  Most</w:t>
      </w:r>
      <w:proofErr w:type="gramEnd"/>
      <w:r w:rsidR="00DF74F5" w:rsidRPr="00820915">
        <w:rPr>
          <w:sz w:val="24"/>
        </w:rPr>
        <w:t xml:space="preserve"> often, the</w:t>
      </w:r>
      <w:r>
        <w:rPr>
          <w:sz w:val="24"/>
        </w:rPr>
        <w:t xml:space="preserve"> listed</w:t>
      </w:r>
      <w:r w:rsidR="00DF74F5" w:rsidRPr="00820915">
        <w:rPr>
          <w:sz w:val="24"/>
        </w:rPr>
        <w:t xml:space="preserve"> symptoms are not from oral cancer; other health problem</w:t>
      </w:r>
      <w:r w:rsidR="002C3A6D" w:rsidRPr="00820915">
        <w:rPr>
          <w:sz w:val="24"/>
        </w:rPr>
        <w:t>s</w:t>
      </w:r>
      <w:r w:rsidR="00DF74F5" w:rsidRPr="00820915">
        <w:rPr>
          <w:sz w:val="24"/>
        </w:rPr>
        <w:t xml:space="preserve"> can </w:t>
      </w:r>
      <w:r w:rsidR="00B07B93" w:rsidRPr="00820915">
        <w:rPr>
          <w:sz w:val="24"/>
        </w:rPr>
        <w:t xml:space="preserve">also </w:t>
      </w:r>
      <w:r w:rsidR="00DF74F5" w:rsidRPr="00820915">
        <w:rPr>
          <w:sz w:val="24"/>
        </w:rPr>
        <w:t xml:space="preserve">cause them. </w:t>
      </w:r>
      <w:r>
        <w:rPr>
          <w:sz w:val="24"/>
        </w:rPr>
        <w:t xml:space="preserve"> Early in the course of the disease, oral cancer </w:t>
      </w:r>
      <w:r w:rsidR="00A75F85">
        <w:rPr>
          <w:sz w:val="24"/>
        </w:rPr>
        <w:t>is often</w:t>
      </w:r>
      <w:r>
        <w:rPr>
          <w:sz w:val="24"/>
        </w:rPr>
        <w:t xml:space="preserve"> asymptomatic.</w:t>
      </w:r>
    </w:p>
    <w:p w:rsidR="00DF74F5" w:rsidRPr="00DF74F5" w:rsidRDefault="00DF74F5" w:rsidP="00DF74F5">
      <w:pPr>
        <w:pStyle w:val="ListParagraph"/>
        <w:rPr>
          <w:sz w:val="24"/>
        </w:rPr>
      </w:pPr>
      <w:r w:rsidRPr="00DF74F5" w:rsidDel="009F0B40">
        <w:rPr>
          <w:sz w:val="24"/>
        </w:rPr>
        <w:t xml:space="preserve"> </w:t>
      </w:r>
    </w:p>
    <w:p w:rsidR="00DF74F5" w:rsidRPr="00DF74F5" w:rsidRDefault="00DF74F5" w:rsidP="00BF458E">
      <w:pPr>
        <w:pStyle w:val="ListParagraph"/>
        <w:numPr>
          <w:ilvl w:val="2"/>
          <w:numId w:val="10"/>
        </w:numPr>
        <w:rPr>
          <w:sz w:val="24"/>
        </w:rPr>
      </w:pPr>
      <w:r w:rsidRPr="00DF74F5">
        <w:rPr>
          <w:sz w:val="24"/>
        </w:rPr>
        <w:t xml:space="preserve">Patches inside your mouth or on your lips: </w:t>
      </w:r>
    </w:p>
    <w:p w:rsidR="00DF74F5" w:rsidRPr="00DF74F5" w:rsidRDefault="00DF74F5" w:rsidP="00BF458E">
      <w:pPr>
        <w:pStyle w:val="ListParagraph"/>
        <w:numPr>
          <w:ilvl w:val="3"/>
          <w:numId w:val="10"/>
        </w:numPr>
        <w:rPr>
          <w:sz w:val="24"/>
        </w:rPr>
      </w:pPr>
      <w:r w:rsidRPr="00DF74F5">
        <w:rPr>
          <w:sz w:val="24"/>
        </w:rPr>
        <w:t>White patches (</w:t>
      </w:r>
      <w:hyperlink r:id="rId10" w:history="1">
        <w:r w:rsidRPr="00DF74F5">
          <w:rPr>
            <w:rStyle w:val="Hyperlink"/>
            <w:sz w:val="24"/>
          </w:rPr>
          <w:t>leukoplakia</w:t>
        </w:r>
      </w:hyperlink>
      <w:r w:rsidRPr="00DF74F5">
        <w:rPr>
          <w:sz w:val="24"/>
        </w:rPr>
        <w:t>) are the most common. White patches sometimes become malignant.</w:t>
      </w:r>
    </w:p>
    <w:p w:rsidR="00DF74F5" w:rsidRPr="00DF74F5" w:rsidRDefault="00DF74F5" w:rsidP="00BF458E">
      <w:pPr>
        <w:pStyle w:val="ListParagraph"/>
        <w:numPr>
          <w:ilvl w:val="3"/>
          <w:numId w:val="10"/>
        </w:numPr>
        <w:rPr>
          <w:sz w:val="24"/>
        </w:rPr>
      </w:pPr>
      <w:r w:rsidRPr="00DF74F5">
        <w:rPr>
          <w:sz w:val="24"/>
        </w:rPr>
        <w:t>Mixed red and white patches (</w:t>
      </w:r>
      <w:proofErr w:type="spellStart"/>
      <w:r w:rsidR="00DF287D">
        <w:fldChar w:fldCharType="begin"/>
      </w:r>
      <w:r w:rsidR="00DF287D">
        <w:instrText xml:space="preserve"> HYPERLINK "http://www.cancer.gov/Common/PopUps/popDefinition.aspx?id=CDR0000389461&amp;version=Patient&amp;language=English" </w:instrText>
      </w:r>
      <w:r w:rsidR="00DF287D">
        <w:fldChar w:fldCharType="separate"/>
      </w:r>
      <w:r w:rsidRPr="00DF74F5">
        <w:rPr>
          <w:rStyle w:val="Hyperlink"/>
          <w:sz w:val="24"/>
        </w:rPr>
        <w:t>erythroleukoplakia</w:t>
      </w:r>
      <w:proofErr w:type="spellEnd"/>
      <w:r w:rsidR="00DF287D">
        <w:rPr>
          <w:rStyle w:val="Hyperlink"/>
          <w:sz w:val="24"/>
        </w:rPr>
        <w:fldChar w:fldCharType="end"/>
      </w:r>
      <w:r w:rsidRPr="00DF74F5">
        <w:rPr>
          <w:sz w:val="24"/>
        </w:rPr>
        <w:t>) are more likely than white patches to become malignant.</w:t>
      </w:r>
    </w:p>
    <w:p w:rsidR="00DF74F5" w:rsidRPr="00DF74F5" w:rsidRDefault="00DF74F5" w:rsidP="00BF458E">
      <w:pPr>
        <w:pStyle w:val="ListParagraph"/>
        <w:numPr>
          <w:ilvl w:val="3"/>
          <w:numId w:val="10"/>
        </w:numPr>
        <w:rPr>
          <w:sz w:val="24"/>
        </w:rPr>
      </w:pPr>
      <w:r w:rsidRPr="00DF74F5">
        <w:rPr>
          <w:sz w:val="24"/>
        </w:rPr>
        <w:t>Red patches (</w:t>
      </w:r>
      <w:proofErr w:type="spellStart"/>
      <w:r w:rsidR="00DF287D">
        <w:fldChar w:fldCharType="begin"/>
      </w:r>
      <w:r w:rsidR="00DF287D">
        <w:instrText xml:space="preserve"> HYPERLINK "http://www.cancer.gov/Common/PopUps/popDefinition.aspx?id=CDR0000046413&amp;version=Patient&amp;language=English" </w:instrText>
      </w:r>
      <w:r w:rsidR="00DF287D">
        <w:fldChar w:fldCharType="separate"/>
      </w:r>
      <w:r w:rsidRPr="00DF74F5">
        <w:rPr>
          <w:rStyle w:val="Hyperlink"/>
          <w:sz w:val="24"/>
        </w:rPr>
        <w:t>erythroplakia</w:t>
      </w:r>
      <w:proofErr w:type="spellEnd"/>
      <w:r w:rsidR="00DF287D">
        <w:rPr>
          <w:rStyle w:val="Hyperlink"/>
          <w:sz w:val="24"/>
        </w:rPr>
        <w:fldChar w:fldCharType="end"/>
      </w:r>
      <w:r w:rsidRPr="00DF74F5">
        <w:rPr>
          <w:sz w:val="24"/>
        </w:rPr>
        <w:t>) are brightly colored, smooth areas that often become malignant.</w:t>
      </w:r>
    </w:p>
    <w:p w:rsidR="00DF74F5" w:rsidRPr="00DF74F5" w:rsidRDefault="00DF74F5" w:rsidP="00BF458E">
      <w:pPr>
        <w:pStyle w:val="ListParagraph"/>
        <w:numPr>
          <w:ilvl w:val="2"/>
          <w:numId w:val="10"/>
        </w:numPr>
        <w:rPr>
          <w:sz w:val="24"/>
        </w:rPr>
      </w:pPr>
      <w:r w:rsidRPr="00DF74F5">
        <w:rPr>
          <w:sz w:val="24"/>
        </w:rPr>
        <w:t>A sore on your lip or in your mouth that doesn't heal</w:t>
      </w:r>
    </w:p>
    <w:p w:rsidR="00DF74F5" w:rsidRPr="00DF74F5" w:rsidRDefault="00DF74F5" w:rsidP="00BF458E">
      <w:pPr>
        <w:pStyle w:val="ListParagraph"/>
        <w:numPr>
          <w:ilvl w:val="2"/>
          <w:numId w:val="10"/>
        </w:numPr>
        <w:rPr>
          <w:sz w:val="24"/>
        </w:rPr>
      </w:pPr>
      <w:r w:rsidRPr="00DF74F5">
        <w:rPr>
          <w:sz w:val="24"/>
        </w:rPr>
        <w:t>Bleeding in your mouth</w:t>
      </w:r>
    </w:p>
    <w:p w:rsidR="00DF74F5" w:rsidRPr="00DF74F5" w:rsidRDefault="00DF74F5" w:rsidP="00BF458E">
      <w:pPr>
        <w:pStyle w:val="ListParagraph"/>
        <w:numPr>
          <w:ilvl w:val="2"/>
          <w:numId w:val="10"/>
        </w:numPr>
        <w:rPr>
          <w:sz w:val="24"/>
        </w:rPr>
      </w:pPr>
      <w:r w:rsidRPr="00DF74F5">
        <w:rPr>
          <w:sz w:val="24"/>
        </w:rPr>
        <w:t>Loose teeth</w:t>
      </w:r>
    </w:p>
    <w:p w:rsidR="00DF74F5" w:rsidRPr="00DF74F5" w:rsidRDefault="00DF74F5" w:rsidP="00BF458E">
      <w:pPr>
        <w:pStyle w:val="ListParagraph"/>
        <w:numPr>
          <w:ilvl w:val="2"/>
          <w:numId w:val="10"/>
        </w:numPr>
        <w:rPr>
          <w:sz w:val="24"/>
        </w:rPr>
      </w:pPr>
      <w:r w:rsidRPr="00DF74F5">
        <w:rPr>
          <w:sz w:val="24"/>
        </w:rPr>
        <w:t>Difficulty or pain when swallowing</w:t>
      </w:r>
    </w:p>
    <w:p w:rsidR="00DF74F5" w:rsidRPr="00820915" w:rsidRDefault="00DF74F5" w:rsidP="00BF458E">
      <w:pPr>
        <w:pStyle w:val="ListParagraph"/>
        <w:numPr>
          <w:ilvl w:val="2"/>
          <w:numId w:val="10"/>
        </w:numPr>
        <w:rPr>
          <w:sz w:val="24"/>
        </w:rPr>
      </w:pPr>
      <w:r w:rsidRPr="00820915">
        <w:rPr>
          <w:sz w:val="24"/>
        </w:rPr>
        <w:t>Difficulty wearing dentures</w:t>
      </w:r>
      <w:r w:rsidR="00346AE4" w:rsidRPr="00820915">
        <w:rPr>
          <w:sz w:val="24"/>
        </w:rPr>
        <w:t xml:space="preserve"> or denture ‘ulcer’</w:t>
      </w:r>
    </w:p>
    <w:p w:rsidR="00DF74F5" w:rsidRPr="00820915" w:rsidRDefault="00DF74F5" w:rsidP="00BF458E">
      <w:pPr>
        <w:pStyle w:val="ListParagraph"/>
        <w:numPr>
          <w:ilvl w:val="2"/>
          <w:numId w:val="10"/>
        </w:numPr>
        <w:rPr>
          <w:sz w:val="24"/>
        </w:rPr>
      </w:pPr>
      <w:r w:rsidRPr="00820915">
        <w:rPr>
          <w:sz w:val="24"/>
        </w:rPr>
        <w:t xml:space="preserve">A lump in your </w:t>
      </w:r>
      <w:r w:rsidR="00346AE4" w:rsidRPr="00820915">
        <w:rPr>
          <w:sz w:val="24"/>
        </w:rPr>
        <w:t xml:space="preserve">mouth, </w:t>
      </w:r>
      <w:r w:rsidRPr="00820915">
        <w:rPr>
          <w:sz w:val="24"/>
        </w:rPr>
        <w:t>neck</w:t>
      </w:r>
      <w:r w:rsidR="00346AE4" w:rsidRPr="00820915">
        <w:rPr>
          <w:sz w:val="24"/>
        </w:rPr>
        <w:t>, or salivary gland</w:t>
      </w:r>
    </w:p>
    <w:p w:rsidR="00DF74F5" w:rsidRPr="00820915" w:rsidRDefault="00DF74F5" w:rsidP="00BF458E">
      <w:pPr>
        <w:pStyle w:val="ListParagraph"/>
        <w:numPr>
          <w:ilvl w:val="2"/>
          <w:numId w:val="10"/>
        </w:numPr>
        <w:rPr>
          <w:sz w:val="24"/>
        </w:rPr>
      </w:pPr>
      <w:r w:rsidRPr="00820915">
        <w:rPr>
          <w:sz w:val="24"/>
        </w:rPr>
        <w:t>An earache that doesn't go away</w:t>
      </w:r>
    </w:p>
    <w:p w:rsidR="00DF74F5" w:rsidRPr="00820915" w:rsidRDefault="00DF74F5" w:rsidP="00BF458E">
      <w:pPr>
        <w:pStyle w:val="ListParagraph"/>
        <w:numPr>
          <w:ilvl w:val="2"/>
          <w:numId w:val="10"/>
        </w:numPr>
        <w:rPr>
          <w:sz w:val="24"/>
        </w:rPr>
      </w:pPr>
      <w:r w:rsidRPr="00820915">
        <w:rPr>
          <w:sz w:val="24"/>
        </w:rPr>
        <w:t>Numbness of lower lip and chin</w:t>
      </w:r>
    </w:p>
    <w:p w:rsidR="00346AE4" w:rsidRDefault="00346AE4" w:rsidP="00BF458E">
      <w:pPr>
        <w:pStyle w:val="ListParagraph"/>
        <w:numPr>
          <w:ilvl w:val="2"/>
          <w:numId w:val="10"/>
        </w:numPr>
        <w:rPr>
          <w:sz w:val="24"/>
        </w:rPr>
      </w:pPr>
      <w:r w:rsidRPr="00820915">
        <w:rPr>
          <w:sz w:val="24"/>
        </w:rPr>
        <w:t>Persistent sore throat</w:t>
      </w:r>
    </w:p>
    <w:p w:rsidR="00656575" w:rsidRPr="00820915" w:rsidRDefault="00656575" w:rsidP="00BF458E">
      <w:pPr>
        <w:pStyle w:val="ListParagraph"/>
        <w:numPr>
          <w:ilvl w:val="2"/>
          <w:numId w:val="10"/>
        </w:numPr>
        <w:rPr>
          <w:sz w:val="24"/>
        </w:rPr>
      </w:pPr>
      <w:r>
        <w:rPr>
          <w:sz w:val="24"/>
        </w:rPr>
        <w:t>Change in voice</w:t>
      </w:r>
    </w:p>
    <w:p w:rsidR="00DF74F5" w:rsidRPr="00DF74F5" w:rsidRDefault="00DF74F5" w:rsidP="00DF74F5">
      <w:pPr>
        <w:pStyle w:val="ListParagraph"/>
        <w:rPr>
          <w:sz w:val="24"/>
        </w:rPr>
      </w:pPr>
    </w:p>
    <w:p w:rsidR="00DF74F5" w:rsidRPr="00656575" w:rsidRDefault="00DF74F5" w:rsidP="00656575">
      <w:pPr>
        <w:pStyle w:val="ListParagraph"/>
      </w:pPr>
    </w:p>
    <w:p w:rsidR="00DF74F5" w:rsidRPr="00CD3C1F" w:rsidRDefault="00DF74F5" w:rsidP="00BF458E">
      <w:pPr>
        <w:pStyle w:val="ListParagraph"/>
        <w:numPr>
          <w:ilvl w:val="0"/>
          <w:numId w:val="12"/>
        </w:numPr>
        <w:rPr>
          <w:sz w:val="24"/>
        </w:rPr>
      </w:pPr>
      <w:r w:rsidRPr="00CD3C1F">
        <w:rPr>
          <w:b/>
          <w:sz w:val="24"/>
        </w:rPr>
        <w:t>Average risk of oral cancer</w:t>
      </w:r>
      <w:r w:rsidRPr="00CD3C1F">
        <w:rPr>
          <w:sz w:val="24"/>
        </w:rPr>
        <w:t xml:space="preserve"> includes individuals 18 years and </w:t>
      </w:r>
      <w:r w:rsidR="003413CA" w:rsidRPr="00CD3C1F">
        <w:rPr>
          <w:sz w:val="24"/>
        </w:rPr>
        <w:t>older</w:t>
      </w:r>
      <w:r w:rsidRPr="00CD3C1F">
        <w:rPr>
          <w:sz w:val="24"/>
        </w:rPr>
        <w:t xml:space="preserve">, without any history of tobacco use and/or regular alcohol use, </w:t>
      </w:r>
      <w:r w:rsidR="002C3A6D" w:rsidRPr="00CD3C1F">
        <w:rPr>
          <w:sz w:val="24"/>
        </w:rPr>
        <w:t xml:space="preserve">and </w:t>
      </w:r>
      <w:r w:rsidRPr="00CD3C1F">
        <w:rPr>
          <w:sz w:val="24"/>
        </w:rPr>
        <w:t>without other risk factors</w:t>
      </w:r>
      <w:r w:rsidR="002C3A6D" w:rsidRPr="00CD3C1F">
        <w:rPr>
          <w:sz w:val="24"/>
        </w:rPr>
        <w:t xml:space="preserve"> listed in</w:t>
      </w:r>
      <w:r w:rsidR="00401267" w:rsidRPr="00CD3C1F">
        <w:rPr>
          <w:sz w:val="24"/>
        </w:rPr>
        <w:t xml:space="preserve"> Section</w:t>
      </w:r>
      <w:r w:rsidR="002C3A6D" w:rsidRPr="00CD3C1F">
        <w:rPr>
          <w:sz w:val="24"/>
        </w:rPr>
        <w:t xml:space="preserve"> II, </w:t>
      </w:r>
      <w:r w:rsidR="00A75F85" w:rsidRPr="00CD3C1F">
        <w:rPr>
          <w:sz w:val="24"/>
        </w:rPr>
        <w:t xml:space="preserve">a.—f., </w:t>
      </w:r>
      <w:r w:rsidR="002C3A6D" w:rsidRPr="00CD3C1F">
        <w:rPr>
          <w:sz w:val="24"/>
        </w:rPr>
        <w:t>below</w:t>
      </w:r>
      <w:r w:rsidRPr="00CD3C1F">
        <w:rPr>
          <w:sz w:val="24"/>
        </w:rPr>
        <w:t>.</w:t>
      </w:r>
    </w:p>
    <w:p w:rsidR="00DF74F5" w:rsidRPr="00CD3C1F" w:rsidRDefault="00DF74F5" w:rsidP="00BF458E">
      <w:pPr>
        <w:pStyle w:val="ListParagraph"/>
        <w:numPr>
          <w:ilvl w:val="0"/>
          <w:numId w:val="12"/>
        </w:numPr>
        <w:rPr>
          <w:sz w:val="24"/>
        </w:rPr>
      </w:pPr>
      <w:r w:rsidRPr="00CD3C1F">
        <w:rPr>
          <w:b/>
          <w:sz w:val="24"/>
        </w:rPr>
        <w:lastRenderedPageBreak/>
        <w:t>Increased risk of oral cancer</w:t>
      </w:r>
      <w:r w:rsidRPr="00CD3C1F">
        <w:rPr>
          <w:sz w:val="24"/>
        </w:rPr>
        <w:t xml:space="preserve"> includes individuals 18 years and above with any of the risk factors listed in </w:t>
      </w:r>
      <w:r w:rsidR="00401267" w:rsidRPr="00CD3C1F">
        <w:rPr>
          <w:sz w:val="24"/>
        </w:rPr>
        <w:t xml:space="preserve">Section </w:t>
      </w:r>
      <w:r w:rsidRPr="00CD3C1F">
        <w:rPr>
          <w:sz w:val="24"/>
        </w:rPr>
        <w:t>II</w:t>
      </w:r>
      <w:r w:rsidR="00A75F85" w:rsidRPr="00CD3C1F">
        <w:rPr>
          <w:sz w:val="24"/>
        </w:rPr>
        <w:t>, a.—f.,</w:t>
      </w:r>
      <w:r w:rsidRPr="00CD3C1F">
        <w:rPr>
          <w:sz w:val="24"/>
        </w:rPr>
        <w:t xml:space="preserve"> below.</w:t>
      </w:r>
      <w:r w:rsidR="002C3A6D" w:rsidRPr="00CD3C1F">
        <w:rPr>
          <w:sz w:val="24"/>
        </w:rPr>
        <w:t xml:space="preserve">  </w:t>
      </w:r>
    </w:p>
    <w:p w:rsidR="00DF74F5" w:rsidRPr="00DF74F5" w:rsidRDefault="00DF74F5" w:rsidP="00DF74F5">
      <w:pPr>
        <w:pStyle w:val="ListParagraph"/>
        <w:rPr>
          <w:sz w:val="24"/>
        </w:rPr>
      </w:pPr>
    </w:p>
    <w:p w:rsidR="00CF3015" w:rsidRPr="00217826" w:rsidRDefault="00CF3015" w:rsidP="00217826">
      <w:pPr>
        <w:pStyle w:val="Heading1"/>
        <w:rPr>
          <w:b/>
          <w:i w:val="0"/>
        </w:rPr>
      </w:pPr>
      <w:r w:rsidRPr="00217826">
        <w:rPr>
          <w:b/>
          <w:i w:val="0"/>
        </w:rPr>
        <w:t xml:space="preserve">Risk factors for oral cancer and </w:t>
      </w:r>
      <w:r w:rsidR="003F6DDF" w:rsidRPr="00217826">
        <w:rPr>
          <w:b/>
          <w:i w:val="0"/>
        </w:rPr>
        <w:t>actions</w:t>
      </w:r>
    </w:p>
    <w:p w:rsidR="00217826" w:rsidRDefault="00217826" w:rsidP="00217826"/>
    <w:p w:rsidR="00217826" w:rsidRPr="007F1C10" w:rsidRDefault="007F1C10" w:rsidP="007F1C10">
      <w:pPr>
        <w:ind w:left="720"/>
        <w:rPr>
          <w:sz w:val="24"/>
          <w:szCs w:val="24"/>
        </w:rPr>
      </w:pPr>
      <w:r w:rsidRPr="007F1C10">
        <w:rPr>
          <w:sz w:val="24"/>
          <w:szCs w:val="24"/>
        </w:rPr>
        <w:t>Certain relatively uncommon but important clinical situations may warrant increased surveillance as judged by the relevant medical case manager. These include a personal history of prior oral cancers</w:t>
      </w:r>
      <w:r w:rsidR="006A6542" w:rsidRPr="006A6542">
        <w:rPr>
          <w:sz w:val="24"/>
          <w:szCs w:val="24"/>
          <w:vertAlign w:val="superscript"/>
        </w:rPr>
        <w:t>2</w:t>
      </w:r>
      <w:r w:rsidRPr="007F1C10">
        <w:rPr>
          <w:sz w:val="24"/>
          <w:szCs w:val="24"/>
        </w:rPr>
        <w:t>, prior potentially malignant oral lesions</w:t>
      </w:r>
      <w:r w:rsidR="002C44D2">
        <w:rPr>
          <w:sz w:val="24"/>
          <w:szCs w:val="24"/>
        </w:rPr>
        <w:t xml:space="preserve"> (leukoplakia, </w:t>
      </w:r>
      <w:proofErr w:type="spellStart"/>
      <w:r w:rsidR="002C44D2">
        <w:rPr>
          <w:sz w:val="24"/>
          <w:szCs w:val="24"/>
        </w:rPr>
        <w:t>erythroplakia</w:t>
      </w:r>
      <w:proofErr w:type="spellEnd"/>
      <w:proofErr w:type="gramStart"/>
      <w:r w:rsidR="002C44D2">
        <w:rPr>
          <w:sz w:val="24"/>
          <w:szCs w:val="24"/>
        </w:rPr>
        <w:t>)</w:t>
      </w:r>
      <w:r w:rsidR="006A6542" w:rsidRPr="006A6542">
        <w:rPr>
          <w:sz w:val="24"/>
          <w:szCs w:val="24"/>
          <w:vertAlign w:val="superscript"/>
        </w:rPr>
        <w:t>1</w:t>
      </w:r>
      <w:proofErr w:type="gramEnd"/>
      <w:r w:rsidRPr="007F1C10">
        <w:rPr>
          <w:sz w:val="24"/>
          <w:szCs w:val="24"/>
        </w:rPr>
        <w:t xml:space="preserve">, </w:t>
      </w:r>
      <w:r w:rsidR="00045DFE">
        <w:rPr>
          <w:sz w:val="24"/>
          <w:szCs w:val="24"/>
        </w:rPr>
        <w:t>immunosuppression from renal transplant or other organ transplant</w:t>
      </w:r>
      <w:r w:rsidR="00045DFE" w:rsidRPr="00045DFE">
        <w:rPr>
          <w:sz w:val="24"/>
          <w:szCs w:val="24"/>
          <w:vertAlign w:val="superscript"/>
        </w:rPr>
        <w:t>3</w:t>
      </w:r>
      <w:r w:rsidRPr="007F1C10">
        <w:rPr>
          <w:sz w:val="24"/>
          <w:szCs w:val="24"/>
        </w:rPr>
        <w:t>, erosive lichen planus</w:t>
      </w:r>
      <w:r w:rsidR="00045DFE" w:rsidRPr="00045DFE">
        <w:rPr>
          <w:sz w:val="24"/>
          <w:szCs w:val="24"/>
          <w:vertAlign w:val="superscript"/>
        </w:rPr>
        <w:t>4</w:t>
      </w:r>
      <w:r w:rsidRPr="007F1C10">
        <w:rPr>
          <w:sz w:val="24"/>
          <w:szCs w:val="24"/>
        </w:rPr>
        <w:t xml:space="preserve">, and </w:t>
      </w:r>
      <w:proofErr w:type="spellStart"/>
      <w:r w:rsidRPr="007F1C10">
        <w:rPr>
          <w:sz w:val="24"/>
          <w:szCs w:val="24"/>
        </w:rPr>
        <w:t>Fanconi</w:t>
      </w:r>
      <w:proofErr w:type="spellEnd"/>
      <w:r w:rsidRPr="007F1C10">
        <w:rPr>
          <w:sz w:val="24"/>
          <w:szCs w:val="24"/>
        </w:rPr>
        <w:t xml:space="preserve"> anemia</w:t>
      </w:r>
      <w:r w:rsidR="00045DFE" w:rsidRPr="00045DFE">
        <w:rPr>
          <w:sz w:val="24"/>
          <w:szCs w:val="24"/>
          <w:vertAlign w:val="superscript"/>
        </w:rPr>
        <w:t>5</w:t>
      </w:r>
      <w:r w:rsidRPr="007F1C10">
        <w:rPr>
          <w:sz w:val="24"/>
          <w:szCs w:val="24"/>
        </w:rPr>
        <w:t>.</w:t>
      </w:r>
    </w:p>
    <w:p w:rsidR="00332D7F" w:rsidRDefault="00332D7F" w:rsidP="00CE10F7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5310"/>
      </w:tblGrid>
      <w:tr w:rsidR="00346AE4" w:rsidTr="00196E93">
        <w:tc>
          <w:tcPr>
            <w:tcW w:w="4698" w:type="dxa"/>
            <w:shd w:val="clear" w:color="auto" w:fill="auto"/>
          </w:tcPr>
          <w:p w:rsidR="00346AE4" w:rsidRPr="00820915" w:rsidRDefault="00346AE4" w:rsidP="00346AE4">
            <w:pPr>
              <w:pStyle w:val="BodyTextIndent3"/>
              <w:tabs>
                <w:tab w:val="clear" w:pos="2520"/>
              </w:tabs>
              <w:rPr>
                <w:b/>
              </w:rPr>
            </w:pPr>
            <w:r w:rsidRPr="00820915">
              <w:rPr>
                <w:b/>
              </w:rPr>
              <w:t>Behavioral Risk Factors</w:t>
            </w:r>
          </w:p>
        </w:tc>
        <w:tc>
          <w:tcPr>
            <w:tcW w:w="5310" w:type="dxa"/>
            <w:shd w:val="clear" w:color="auto" w:fill="auto"/>
          </w:tcPr>
          <w:p w:rsidR="00346AE4" w:rsidRPr="002B5849" w:rsidRDefault="00196E93" w:rsidP="00196E93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2B5849">
              <w:rPr>
                <w:b/>
                <w:sz w:val="24"/>
                <w:szCs w:val="24"/>
              </w:rPr>
              <w:t>Actions</w:t>
            </w:r>
            <w:r w:rsidRPr="002B5849">
              <w:rPr>
                <w:b/>
                <w:sz w:val="24"/>
                <w:szCs w:val="24"/>
                <w:vertAlign w:val="superscript"/>
              </w:rPr>
              <w:t>**</w:t>
            </w:r>
          </w:p>
        </w:tc>
      </w:tr>
      <w:tr w:rsidR="00CF3015" w:rsidTr="00196E93">
        <w:tc>
          <w:tcPr>
            <w:tcW w:w="4698" w:type="dxa"/>
            <w:shd w:val="clear" w:color="auto" w:fill="auto"/>
          </w:tcPr>
          <w:p w:rsidR="00CF3015" w:rsidRPr="007E63C6" w:rsidRDefault="00284E20" w:rsidP="00196E93">
            <w:pPr>
              <w:pStyle w:val="BodyTextIndent3"/>
              <w:tabs>
                <w:tab w:val="clear" w:pos="2520"/>
              </w:tabs>
              <w:ind w:left="360"/>
            </w:pPr>
            <w:r>
              <w:t>a</w:t>
            </w:r>
            <w:r w:rsidR="00401267">
              <w:t xml:space="preserve">. </w:t>
            </w:r>
            <w:r w:rsidR="00CF3015">
              <w:t>Using t</w:t>
            </w:r>
            <w:r w:rsidR="00CF3015" w:rsidRPr="007E63C6">
              <w:t>obacco (current or past):</w:t>
            </w:r>
            <w:r w:rsidR="006F0E4C" w:rsidRPr="006F0E4C">
              <w:rPr>
                <w:vertAlign w:val="superscript"/>
              </w:rPr>
              <w:t xml:space="preserve"> 1</w:t>
            </w:r>
          </w:p>
          <w:p w:rsidR="00CF3015" w:rsidRPr="007E63C6" w:rsidRDefault="00CF3015" w:rsidP="00196E93">
            <w:pPr>
              <w:pStyle w:val="BodyTextIndent3"/>
              <w:numPr>
                <w:ilvl w:val="0"/>
                <w:numId w:val="15"/>
              </w:numPr>
              <w:ind w:left="1080"/>
            </w:pPr>
            <w:r w:rsidRPr="007E63C6">
              <w:t>Smoking:  cigarettes, cigars, pipes, or other methods of smoking</w:t>
            </w:r>
          </w:p>
          <w:p w:rsidR="00CF3015" w:rsidRDefault="00CF3015" w:rsidP="00196E93">
            <w:pPr>
              <w:pStyle w:val="BodyTextIndent3"/>
              <w:numPr>
                <w:ilvl w:val="0"/>
                <w:numId w:val="15"/>
              </w:numPr>
              <w:ind w:left="1080"/>
            </w:pPr>
            <w:r>
              <w:t>Using s</w:t>
            </w:r>
            <w:r w:rsidRPr="007E63C6">
              <w:t>pit tobacco:  chewing tobacco, snuff, or other smokeless tobacco exposure</w:t>
            </w:r>
          </w:p>
        </w:tc>
        <w:tc>
          <w:tcPr>
            <w:tcW w:w="5310" w:type="dxa"/>
            <w:shd w:val="clear" w:color="auto" w:fill="auto"/>
          </w:tcPr>
          <w:p w:rsidR="00CF3015" w:rsidRPr="00DF0748" w:rsidRDefault="007D52C6" w:rsidP="008C4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Avoid</w:t>
            </w:r>
            <w:r w:rsidRPr="00DF0748">
              <w:rPr>
                <w:sz w:val="24"/>
                <w:szCs w:val="24"/>
              </w:rPr>
              <w:t xml:space="preserve"> </w:t>
            </w:r>
            <w:r w:rsidR="00CF3015" w:rsidRPr="00DF0748">
              <w:rPr>
                <w:sz w:val="24"/>
                <w:szCs w:val="24"/>
              </w:rPr>
              <w:t xml:space="preserve">tobacco </w:t>
            </w:r>
            <w:r w:rsidR="008C4D09" w:rsidRPr="00DF0748">
              <w:rPr>
                <w:sz w:val="24"/>
                <w:szCs w:val="24"/>
              </w:rPr>
              <w:t>use</w:t>
            </w:r>
            <w:r w:rsidR="00975263">
              <w:rPr>
                <w:sz w:val="24"/>
                <w:szCs w:val="24"/>
                <w:vertAlign w:val="superscript"/>
              </w:rPr>
              <w:t>7</w:t>
            </w:r>
          </w:p>
        </w:tc>
      </w:tr>
      <w:tr w:rsidR="00CF3015" w:rsidTr="00196E93">
        <w:tc>
          <w:tcPr>
            <w:tcW w:w="4698" w:type="dxa"/>
            <w:shd w:val="clear" w:color="auto" w:fill="auto"/>
          </w:tcPr>
          <w:p w:rsidR="00CF3015" w:rsidRPr="007E63C6" w:rsidRDefault="00284E20" w:rsidP="00DC589D">
            <w:pPr>
              <w:pStyle w:val="BodyTextIndent3"/>
              <w:tabs>
                <w:tab w:val="clear" w:pos="2520"/>
              </w:tabs>
              <w:ind w:left="360"/>
            </w:pPr>
            <w:r>
              <w:t>b</w:t>
            </w:r>
            <w:r w:rsidR="00401267">
              <w:t xml:space="preserve">. </w:t>
            </w:r>
            <w:r w:rsidR="00CF3015">
              <w:t>Chewing b</w:t>
            </w:r>
            <w:r w:rsidR="00CF3015" w:rsidRPr="007E63C6">
              <w:t>etel nut</w:t>
            </w:r>
            <w:r w:rsidR="00CF3015">
              <w:t>s</w:t>
            </w:r>
            <w:r w:rsidR="006F0E4C" w:rsidRPr="006F0E4C">
              <w:rPr>
                <w:vertAlign w:val="superscript"/>
              </w:rPr>
              <w:t>1</w:t>
            </w:r>
          </w:p>
          <w:p w:rsidR="00CF3015" w:rsidRDefault="00CF3015" w:rsidP="00DC589D">
            <w:pPr>
              <w:ind w:left="360"/>
            </w:pPr>
          </w:p>
        </w:tc>
        <w:tc>
          <w:tcPr>
            <w:tcW w:w="5310" w:type="dxa"/>
            <w:shd w:val="clear" w:color="auto" w:fill="auto"/>
          </w:tcPr>
          <w:p w:rsidR="00CF3015" w:rsidRPr="00DF0748" w:rsidRDefault="00CF3015" w:rsidP="001106C5">
            <w:pPr>
              <w:rPr>
                <w:sz w:val="24"/>
                <w:szCs w:val="24"/>
              </w:rPr>
            </w:pPr>
            <w:r w:rsidRPr="00DF0748">
              <w:rPr>
                <w:sz w:val="24"/>
                <w:szCs w:val="24"/>
              </w:rPr>
              <w:t xml:space="preserve">Eliminate </w:t>
            </w:r>
            <w:r>
              <w:rPr>
                <w:sz w:val="24"/>
                <w:szCs w:val="24"/>
              </w:rPr>
              <w:t xml:space="preserve">chewing </w:t>
            </w:r>
            <w:r w:rsidRPr="00DF0748">
              <w:rPr>
                <w:sz w:val="24"/>
                <w:szCs w:val="24"/>
              </w:rPr>
              <w:t>betel nut</w:t>
            </w:r>
            <w:r>
              <w:rPr>
                <w:sz w:val="24"/>
                <w:szCs w:val="24"/>
              </w:rPr>
              <w:t>s</w:t>
            </w:r>
            <w:r w:rsidR="00975263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CF3015" w:rsidTr="00196E93">
        <w:tc>
          <w:tcPr>
            <w:tcW w:w="4698" w:type="dxa"/>
            <w:shd w:val="clear" w:color="auto" w:fill="auto"/>
          </w:tcPr>
          <w:p w:rsidR="00CF3015" w:rsidRPr="007E63C6" w:rsidRDefault="00284E20" w:rsidP="00DC589D">
            <w:pPr>
              <w:pStyle w:val="BodyTextIndent3"/>
              <w:tabs>
                <w:tab w:val="clear" w:pos="2520"/>
              </w:tabs>
              <w:ind w:left="360"/>
              <w:rPr>
                <w:rStyle w:val="hyper1"/>
                <w:rFonts w:ascii="Times New Roman" w:hAnsi="Times New Roman"/>
                <w:color w:val="auto"/>
              </w:rPr>
            </w:pPr>
            <w:r>
              <w:t>c</w:t>
            </w:r>
            <w:r w:rsidR="00401267">
              <w:t xml:space="preserve">. </w:t>
            </w:r>
            <w:r w:rsidR="00CF3015">
              <w:t>H</w:t>
            </w:r>
            <w:r w:rsidR="00CF3015" w:rsidRPr="007E63C6">
              <w:t>eavy alcohol use</w:t>
            </w:r>
            <w:r w:rsidR="006F0E4C" w:rsidRPr="006F0E4C">
              <w:rPr>
                <w:vertAlign w:val="superscript"/>
              </w:rPr>
              <w:t>1</w:t>
            </w:r>
          </w:p>
          <w:p w:rsidR="00CF3015" w:rsidRDefault="00CF3015" w:rsidP="00DC589D">
            <w:pPr>
              <w:ind w:left="360"/>
            </w:pPr>
          </w:p>
        </w:tc>
        <w:tc>
          <w:tcPr>
            <w:tcW w:w="5310" w:type="dxa"/>
            <w:shd w:val="clear" w:color="auto" w:fill="auto"/>
          </w:tcPr>
          <w:p w:rsidR="00CF3015" w:rsidRPr="00DF0748" w:rsidRDefault="00CF3015" w:rsidP="00E86CC6">
            <w:pPr>
              <w:rPr>
                <w:sz w:val="24"/>
                <w:szCs w:val="24"/>
              </w:rPr>
            </w:pPr>
            <w:r w:rsidRPr="00DF0748">
              <w:rPr>
                <w:sz w:val="24"/>
                <w:szCs w:val="24"/>
              </w:rPr>
              <w:t>Reduce or eliminate alcohol use</w:t>
            </w:r>
            <w:r w:rsidR="00975263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CF3015" w:rsidTr="00196E93">
        <w:tc>
          <w:tcPr>
            <w:tcW w:w="4698" w:type="dxa"/>
            <w:shd w:val="clear" w:color="auto" w:fill="auto"/>
          </w:tcPr>
          <w:p w:rsidR="00CF3015" w:rsidRDefault="00284E20" w:rsidP="000409FA">
            <w:pPr>
              <w:pStyle w:val="BodyTextIndent3"/>
              <w:tabs>
                <w:tab w:val="clear" w:pos="2520"/>
              </w:tabs>
              <w:ind w:left="360"/>
            </w:pPr>
            <w:r>
              <w:t>d</w:t>
            </w:r>
            <w:r w:rsidR="00401267">
              <w:t xml:space="preserve">. </w:t>
            </w:r>
            <w:r w:rsidR="00EC06EC">
              <w:t>E</w:t>
            </w:r>
            <w:r w:rsidR="00CF3015">
              <w:t>xpos</w:t>
            </w:r>
            <w:r w:rsidR="00EC06EC">
              <w:t>ure</w:t>
            </w:r>
            <w:r w:rsidR="00CF3015">
              <w:t xml:space="preserve"> to </w:t>
            </w:r>
            <w:r w:rsidR="00EC06EC">
              <w:t xml:space="preserve">direct </w:t>
            </w:r>
            <w:r w:rsidR="00CF3015">
              <w:t xml:space="preserve">sunlight (lip cancer only) </w:t>
            </w:r>
            <w:r w:rsidR="006F0E4C" w:rsidRPr="006F0E4C">
              <w:rPr>
                <w:vertAlign w:val="superscript"/>
              </w:rPr>
              <w:t>1</w:t>
            </w:r>
          </w:p>
        </w:tc>
        <w:tc>
          <w:tcPr>
            <w:tcW w:w="5310" w:type="dxa"/>
            <w:shd w:val="clear" w:color="auto" w:fill="auto"/>
          </w:tcPr>
          <w:p w:rsidR="00CF3015" w:rsidRPr="00A02603" w:rsidRDefault="00CF3015" w:rsidP="00004193">
            <w:pPr>
              <w:rPr>
                <w:sz w:val="24"/>
                <w:szCs w:val="24"/>
              </w:rPr>
            </w:pPr>
            <w:r w:rsidRPr="00A02603">
              <w:rPr>
                <w:sz w:val="24"/>
                <w:szCs w:val="24"/>
              </w:rPr>
              <w:t xml:space="preserve">Use lip balm </w:t>
            </w:r>
            <w:r w:rsidR="00BF402B" w:rsidRPr="00A02603">
              <w:rPr>
                <w:sz w:val="24"/>
                <w:szCs w:val="24"/>
              </w:rPr>
              <w:t xml:space="preserve">with sunscreen </w:t>
            </w:r>
            <w:r w:rsidRPr="00A02603">
              <w:rPr>
                <w:sz w:val="24"/>
                <w:szCs w:val="24"/>
              </w:rPr>
              <w:t xml:space="preserve">to </w:t>
            </w:r>
            <w:r w:rsidR="00BF402B" w:rsidRPr="00A02603">
              <w:rPr>
                <w:sz w:val="24"/>
                <w:szCs w:val="24"/>
              </w:rPr>
              <w:t xml:space="preserve">reduce </w:t>
            </w:r>
            <w:r w:rsidRPr="00A02603">
              <w:rPr>
                <w:sz w:val="24"/>
                <w:szCs w:val="24"/>
              </w:rPr>
              <w:t>sun exposure of lips</w:t>
            </w:r>
            <w:r w:rsidR="00975263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B5483" w:rsidTr="00196E93">
        <w:tc>
          <w:tcPr>
            <w:tcW w:w="4698" w:type="dxa"/>
            <w:shd w:val="clear" w:color="auto" w:fill="auto"/>
          </w:tcPr>
          <w:p w:rsidR="00BB5483" w:rsidRDefault="00284E20" w:rsidP="00DC589D">
            <w:pPr>
              <w:pStyle w:val="BodyTextIndent3"/>
              <w:tabs>
                <w:tab w:val="clear" w:pos="2520"/>
              </w:tabs>
              <w:ind w:left="36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e</w:t>
            </w:r>
            <w:r w:rsidR="00401267">
              <w:rPr>
                <w:color w:val="222222"/>
                <w:shd w:val="clear" w:color="auto" w:fill="FFFFFF"/>
              </w:rPr>
              <w:t xml:space="preserve">. </w:t>
            </w:r>
            <w:r w:rsidR="00BB5483">
              <w:rPr>
                <w:color w:val="222222"/>
                <w:shd w:val="clear" w:color="auto" w:fill="FFFFFF"/>
              </w:rPr>
              <w:t>Not eating enough vegetables and fruits may increase the risk of oral cancer, some studies suggest</w:t>
            </w:r>
            <w:r w:rsidR="006F0E4C" w:rsidRPr="006F0E4C">
              <w:rPr>
                <w:vertAlign w:val="superscript"/>
              </w:rPr>
              <w:t>1</w:t>
            </w:r>
          </w:p>
        </w:tc>
        <w:tc>
          <w:tcPr>
            <w:tcW w:w="5310" w:type="dxa"/>
            <w:shd w:val="clear" w:color="auto" w:fill="auto"/>
          </w:tcPr>
          <w:p w:rsidR="00BB5483" w:rsidRPr="00A02603" w:rsidRDefault="00556091" w:rsidP="00196E93">
            <w:pPr>
              <w:rPr>
                <w:sz w:val="24"/>
                <w:szCs w:val="24"/>
              </w:rPr>
            </w:pPr>
            <w:r w:rsidRPr="00A02603">
              <w:rPr>
                <w:sz w:val="24"/>
                <w:szCs w:val="24"/>
              </w:rPr>
              <w:t>D</w:t>
            </w:r>
            <w:r w:rsidR="00BB5483" w:rsidRPr="00A02603">
              <w:rPr>
                <w:sz w:val="24"/>
                <w:szCs w:val="24"/>
              </w:rPr>
              <w:t xml:space="preserve">iet with fruit and </w:t>
            </w:r>
            <w:r w:rsidR="00AF0185" w:rsidRPr="00A02603">
              <w:rPr>
                <w:sz w:val="24"/>
                <w:szCs w:val="24"/>
              </w:rPr>
              <w:t xml:space="preserve">non-starchy </w:t>
            </w:r>
            <w:r w:rsidR="00196E93" w:rsidRPr="00A02603">
              <w:rPr>
                <w:sz w:val="24"/>
                <w:szCs w:val="24"/>
              </w:rPr>
              <w:t>vegetables</w:t>
            </w:r>
            <w:r w:rsidR="00975263">
              <w:rPr>
                <w:sz w:val="24"/>
                <w:szCs w:val="24"/>
                <w:vertAlign w:val="superscript"/>
              </w:rPr>
              <w:t>8</w:t>
            </w:r>
          </w:p>
        </w:tc>
      </w:tr>
      <w:tr w:rsidR="00CF3015" w:rsidTr="00196E93">
        <w:tc>
          <w:tcPr>
            <w:tcW w:w="4698" w:type="dxa"/>
            <w:shd w:val="clear" w:color="auto" w:fill="auto"/>
          </w:tcPr>
          <w:p w:rsidR="00CF3015" w:rsidRPr="008F2FE3" w:rsidRDefault="00284E20" w:rsidP="00BA1167">
            <w:pPr>
              <w:pStyle w:val="BodyTextIndent3"/>
              <w:tabs>
                <w:tab w:val="clear" w:pos="2520"/>
              </w:tabs>
              <w:ind w:left="360"/>
            </w:pPr>
            <w:r>
              <w:rPr>
                <w:color w:val="222222"/>
                <w:shd w:val="clear" w:color="auto" w:fill="FFFFFF"/>
              </w:rPr>
              <w:t>f</w:t>
            </w:r>
            <w:r w:rsidR="00401267">
              <w:rPr>
                <w:color w:val="222222"/>
                <w:shd w:val="clear" w:color="auto" w:fill="FFFFFF"/>
              </w:rPr>
              <w:t xml:space="preserve">. </w:t>
            </w:r>
            <w:r w:rsidR="00CF3015">
              <w:rPr>
                <w:color w:val="222222"/>
                <w:shd w:val="clear" w:color="auto" w:fill="FFFFFF"/>
              </w:rPr>
              <w:t xml:space="preserve">Having </w:t>
            </w:r>
            <w:r w:rsidR="00CF3015" w:rsidRPr="008F2FE3">
              <w:rPr>
                <w:color w:val="222222"/>
                <w:shd w:val="clear" w:color="auto" w:fill="FFFFFF"/>
              </w:rPr>
              <w:t xml:space="preserve">oral </w:t>
            </w:r>
            <w:r w:rsidR="00CF3015" w:rsidRPr="007A6E5E">
              <w:t>h</w:t>
            </w:r>
            <w:r w:rsidR="00CF3015" w:rsidRPr="000A26D2">
              <w:t>uman p</w:t>
            </w:r>
            <w:r w:rsidR="00CF3015" w:rsidRPr="00272DE5">
              <w:t>apillomavirus (</w:t>
            </w:r>
            <w:r w:rsidR="00CF3015" w:rsidRPr="008F2FE3">
              <w:rPr>
                <w:color w:val="222222"/>
                <w:shd w:val="clear" w:color="auto" w:fill="FFFFFF"/>
              </w:rPr>
              <w:t xml:space="preserve">HPV) infection, particularly HPV type 16 </w:t>
            </w:r>
            <w:r w:rsidR="007A6677">
              <w:rPr>
                <w:color w:val="222222"/>
                <w:shd w:val="clear" w:color="auto" w:fill="FFFFFF"/>
              </w:rPr>
              <w:t>(</w:t>
            </w:r>
            <w:r w:rsidR="008B4B50">
              <w:rPr>
                <w:color w:val="222222"/>
                <w:shd w:val="clear" w:color="auto" w:fill="FFFFFF"/>
              </w:rPr>
              <w:t>primari</w:t>
            </w:r>
            <w:r w:rsidR="00BA1167">
              <w:rPr>
                <w:color w:val="222222"/>
                <w:shd w:val="clear" w:color="auto" w:fill="FFFFFF"/>
              </w:rPr>
              <w:t xml:space="preserve">ly but not exclusively </w:t>
            </w:r>
            <w:r w:rsidR="007A6677">
              <w:rPr>
                <w:color w:val="222222"/>
                <w:shd w:val="clear" w:color="auto" w:fill="FFFFFF"/>
              </w:rPr>
              <w:t>linked to cancer at base of tongue, back of throat, tonsils, or soft palate)</w:t>
            </w:r>
            <w:r w:rsidR="006F0E4C" w:rsidRPr="006F0E4C">
              <w:rPr>
                <w:vertAlign w:val="superscript"/>
              </w:rPr>
              <w:t xml:space="preserve"> 1</w:t>
            </w:r>
          </w:p>
        </w:tc>
        <w:tc>
          <w:tcPr>
            <w:tcW w:w="5310" w:type="dxa"/>
            <w:shd w:val="clear" w:color="auto" w:fill="auto"/>
          </w:tcPr>
          <w:p w:rsidR="00CF3015" w:rsidRPr="00A02603" w:rsidRDefault="0032725F" w:rsidP="00975263">
            <w:pPr>
              <w:rPr>
                <w:sz w:val="24"/>
                <w:szCs w:val="24"/>
              </w:rPr>
            </w:pPr>
            <w:r w:rsidRPr="00A02603">
              <w:rPr>
                <w:sz w:val="24"/>
                <w:szCs w:val="24"/>
              </w:rPr>
              <w:t>HPV vaccination is recommended for prevention of cervical, vulvar, vaginal, and anal cancer</w:t>
            </w:r>
            <w:r w:rsidR="008C0E56" w:rsidRPr="00A02603">
              <w:rPr>
                <w:sz w:val="24"/>
                <w:szCs w:val="24"/>
              </w:rPr>
              <w:t xml:space="preserve"> in females</w:t>
            </w:r>
            <w:r w:rsidR="00556091" w:rsidRPr="00A02603">
              <w:rPr>
                <w:sz w:val="24"/>
                <w:szCs w:val="24"/>
              </w:rPr>
              <w:t>,</w:t>
            </w:r>
            <w:r w:rsidR="008C0E56" w:rsidRPr="00A02603">
              <w:rPr>
                <w:sz w:val="24"/>
                <w:szCs w:val="24"/>
              </w:rPr>
              <w:t xml:space="preserve"> ages 11 to 26 years</w:t>
            </w:r>
            <w:r w:rsidR="00556091" w:rsidRPr="00A02603">
              <w:rPr>
                <w:sz w:val="24"/>
                <w:szCs w:val="24"/>
              </w:rPr>
              <w:t>,</w:t>
            </w:r>
            <w:r w:rsidR="008C0E56" w:rsidRPr="00A02603">
              <w:rPr>
                <w:sz w:val="24"/>
                <w:szCs w:val="24"/>
              </w:rPr>
              <w:t xml:space="preserve"> and in males</w:t>
            </w:r>
            <w:r w:rsidR="00556091" w:rsidRPr="00A02603">
              <w:rPr>
                <w:sz w:val="24"/>
                <w:szCs w:val="24"/>
              </w:rPr>
              <w:t>, age</w:t>
            </w:r>
            <w:r w:rsidR="008C0E56" w:rsidRPr="00A02603">
              <w:rPr>
                <w:sz w:val="24"/>
                <w:szCs w:val="24"/>
              </w:rPr>
              <w:t xml:space="preserve"> 11 to 21 ages.  HPV vaccination has not been approved for the prevention of </w:t>
            </w:r>
            <w:proofErr w:type="spellStart"/>
            <w:r w:rsidR="008C0E56" w:rsidRPr="00A02603">
              <w:rPr>
                <w:sz w:val="24"/>
                <w:szCs w:val="24"/>
              </w:rPr>
              <w:t>oropharyngeal</w:t>
            </w:r>
            <w:proofErr w:type="spellEnd"/>
            <w:r w:rsidR="008C0E56" w:rsidRPr="00A02603">
              <w:rPr>
                <w:sz w:val="24"/>
                <w:szCs w:val="24"/>
              </w:rPr>
              <w:t xml:space="preserve"> cancer at this time.</w:t>
            </w:r>
            <w:r w:rsidR="00975263">
              <w:rPr>
                <w:sz w:val="24"/>
                <w:szCs w:val="24"/>
                <w:vertAlign w:val="superscript"/>
              </w:rPr>
              <w:t>9</w:t>
            </w:r>
            <w:r w:rsidR="00196E93" w:rsidRPr="00A02603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BB6415" w:rsidRPr="00A75F85" w:rsidRDefault="00196E93">
      <w:pPr>
        <w:rPr>
          <w:b/>
          <w:sz w:val="24"/>
          <w:szCs w:val="24"/>
        </w:rPr>
      </w:pPr>
      <w:r w:rsidRPr="00A75F85">
        <w:rPr>
          <w:sz w:val="24"/>
          <w:szCs w:val="24"/>
        </w:rPr>
        <w:t xml:space="preserve">** There is inadequate evidence to determine whether actions taken to eliminate or reduce the behavioral risk factors above, except the avoidance of tobacco use, will prevent oral cancer.  </w:t>
      </w:r>
      <w:r w:rsidR="00B161AC" w:rsidRPr="00A75F85">
        <w:rPr>
          <w:sz w:val="24"/>
          <w:szCs w:val="24"/>
        </w:rPr>
        <w:t xml:space="preserve">However, the professional opinion of the Medical Advisory Committee </w:t>
      </w:r>
      <w:r w:rsidR="00A75F85" w:rsidRPr="00A75F85">
        <w:rPr>
          <w:sz w:val="24"/>
          <w:szCs w:val="24"/>
        </w:rPr>
        <w:t xml:space="preserve">supports the Actions listed in </w:t>
      </w:r>
      <w:r w:rsidR="00284E20">
        <w:rPr>
          <w:sz w:val="24"/>
          <w:szCs w:val="24"/>
        </w:rPr>
        <w:t>b</w:t>
      </w:r>
      <w:r w:rsidR="00A75F85">
        <w:rPr>
          <w:sz w:val="24"/>
          <w:szCs w:val="24"/>
        </w:rPr>
        <w:t>.</w:t>
      </w:r>
      <w:r w:rsidR="00A75F85" w:rsidRPr="00A75F85">
        <w:rPr>
          <w:sz w:val="24"/>
          <w:szCs w:val="24"/>
        </w:rPr>
        <w:t>—</w:t>
      </w:r>
      <w:r w:rsidR="00284E20">
        <w:rPr>
          <w:sz w:val="24"/>
          <w:szCs w:val="24"/>
        </w:rPr>
        <w:t>f</w:t>
      </w:r>
      <w:r w:rsidR="00746EEF">
        <w:rPr>
          <w:sz w:val="24"/>
          <w:szCs w:val="24"/>
        </w:rPr>
        <w:t>.</w:t>
      </w:r>
      <w:r w:rsidR="00A75F85">
        <w:rPr>
          <w:sz w:val="24"/>
          <w:szCs w:val="24"/>
        </w:rPr>
        <w:t>, above</w:t>
      </w:r>
      <w:r w:rsidR="00A75F85" w:rsidRPr="00A75F85">
        <w:rPr>
          <w:sz w:val="24"/>
          <w:szCs w:val="24"/>
        </w:rPr>
        <w:t>.</w:t>
      </w:r>
      <w:r w:rsidR="00BB6415" w:rsidRPr="00A75F85">
        <w:rPr>
          <w:b/>
          <w:i/>
          <w:sz w:val="24"/>
          <w:szCs w:val="24"/>
        </w:rPr>
        <w:br w:type="page"/>
      </w:r>
    </w:p>
    <w:p w:rsidR="00CF3015" w:rsidRDefault="001E416A" w:rsidP="001E416A">
      <w:pPr>
        <w:pStyle w:val="Heading1"/>
        <w:numPr>
          <w:ilvl w:val="0"/>
          <w:numId w:val="0"/>
        </w:numPr>
        <w:rPr>
          <w:b/>
          <w:i w:val="0"/>
        </w:rPr>
      </w:pPr>
      <w:r>
        <w:rPr>
          <w:b/>
          <w:i w:val="0"/>
        </w:rPr>
        <w:lastRenderedPageBreak/>
        <w:t xml:space="preserve">III. </w:t>
      </w:r>
      <w:r w:rsidR="00CF3015">
        <w:rPr>
          <w:b/>
          <w:i w:val="0"/>
        </w:rPr>
        <w:t>Screening and Risk Reduction</w:t>
      </w:r>
    </w:p>
    <w:p w:rsidR="00CF3015" w:rsidRDefault="00CF3015">
      <w:pPr>
        <w:rPr>
          <w:b/>
          <w:sz w:val="24"/>
          <w:u w:val="single"/>
        </w:rPr>
      </w:pPr>
    </w:p>
    <w:p w:rsidR="00CF3015" w:rsidRPr="008F2FE3" w:rsidRDefault="00CF3015" w:rsidP="001B060A">
      <w:pPr>
        <w:pStyle w:val="Heading2"/>
        <w:numPr>
          <w:ilvl w:val="1"/>
          <w:numId w:val="9"/>
        </w:numPr>
        <w:ind w:left="990" w:hanging="360"/>
        <w:rPr>
          <w:b w:val="0"/>
          <w:u w:val="none"/>
        </w:rPr>
      </w:pPr>
      <w:r w:rsidRPr="008F2FE3">
        <w:rPr>
          <w:b w:val="0"/>
          <w:u w:val="none"/>
        </w:rPr>
        <w:t>Screening for oral cancer:  Opportunistic screening and targeted public health screening.</w:t>
      </w:r>
      <w:r w:rsidR="001B060A">
        <w:rPr>
          <w:b w:val="0"/>
          <w:u w:val="none"/>
        </w:rPr>
        <w:t xml:space="preserve"> </w:t>
      </w:r>
      <w:r w:rsidR="001B060A" w:rsidRPr="001B060A">
        <w:rPr>
          <w:b w:val="0"/>
          <w:bCs/>
          <w:u w:val="none"/>
        </w:rPr>
        <w:t>(Professional opinion</w:t>
      </w:r>
      <w:r w:rsidR="001B060A" w:rsidRPr="001B060A">
        <w:rPr>
          <w:b w:val="0"/>
          <w:bCs/>
        </w:rPr>
        <w:t xml:space="preserve"> </w:t>
      </w:r>
      <w:r w:rsidR="001B060A" w:rsidRPr="001B060A">
        <w:rPr>
          <w:b w:val="0"/>
          <w:bCs/>
          <w:u w:val="none"/>
        </w:rPr>
        <w:t>of Oral Cancer Medical Advisory Committee 2013)</w:t>
      </w:r>
      <w:r w:rsidR="001B060A" w:rsidRPr="001B060A">
        <w:rPr>
          <w:b w:val="0"/>
          <w:u w:val="none"/>
        </w:rPr>
        <w:t>:</w:t>
      </w:r>
      <w:r w:rsidR="001B060A" w:rsidRPr="00DF0748">
        <w:rPr>
          <w:u w:val="none"/>
        </w:rPr>
        <w:t xml:space="preserve">  </w:t>
      </w:r>
    </w:p>
    <w:p w:rsidR="00CF3015" w:rsidRPr="007B3B86" w:rsidRDefault="00CF3015" w:rsidP="00DF0748"/>
    <w:p w:rsidR="00CF3015" w:rsidRDefault="00CF3015" w:rsidP="00A02603">
      <w:pPr>
        <w:pStyle w:val="Heading3"/>
        <w:numPr>
          <w:ilvl w:val="0"/>
          <w:numId w:val="0"/>
        </w:numPr>
        <w:ind w:left="990"/>
        <w:rPr>
          <w:u w:val="none"/>
        </w:rPr>
      </w:pPr>
      <w:r w:rsidRPr="00DF0748">
        <w:rPr>
          <w:u w:val="none"/>
        </w:rPr>
        <w:t>There is inadequate evidence to establish whether screening would result in a decrease in mortality from oral cancer</w:t>
      </w:r>
      <w:r>
        <w:rPr>
          <w:u w:val="none"/>
        </w:rPr>
        <w:t>.</w:t>
      </w:r>
      <w:r w:rsidR="00746EEF" w:rsidRPr="00746EEF">
        <w:rPr>
          <w:u w:val="none"/>
          <w:vertAlign w:val="superscript"/>
        </w:rPr>
        <w:t>10</w:t>
      </w:r>
      <w:r w:rsidR="008C4D09">
        <w:rPr>
          <w:u w:val="none"/>
        </w:rPr>
        <w:t xml:space="preserve">   </w:t>
      </w:r>
      <w:r>
        <w:rPr>
          <w:u w:val="none"/>
        </w:rPr>
        <w:t>However, two settings warrant additional consideration:</w:t>
      </w:r>
    </w:p>
    <w:p w:rsidR="00BB6415" w:rsidRDefault="00BB6415" w:rsidP="00A02603">
      <w:pPr>
        <w:pStyle w:val="Heading3"/>
        <w:numPr>
          <w:ilvl w:val="0"/>
          <w:numId w:val="0"/>
        </w:numPr>
        <w:ind w:left="1800"/>
        <w:rPr>
          <w:u w:val="none"/>
        </w:rPr>
      </w:pPr>
    </w:p>
    <w:p w:rsidR="002C3A6D" w:rsidRDefault="00CF3015" w:rsidP="00A02603">
      <w:pPr>
        <w:pStyle w:val="Heading3"/>
        <w:numPr>
          <w:ilvl w:val="0"/>
          <w:numId w:val="7"/>
        </w:numPr>
        <w:ind w:left="1440"/>
        <w:rPr>
          <w:u w:val="none"/>
        </w:rPr>
      </w:pPr>
      <w:r w:rsidRPr="00DF0748">
        <w:rPr>
          <w:u w:val="none"/>
        </w:rPr>
        <w:t>Opportunistic screening</w:t>
      </w:r>
      <w:r w:rsidR="00A0318E">
        <w:rPr>
          <w:u w:val="none"/>
        </w:rPr>
        <w:t xml:space="preserve"> for oral cancer</w:t>
      </w:r>
      <w:r w:rsidRPr="00DF0748">
        <w:rPr>
          <w:u w:val="none"/>
        </w:rPr>
        <w:t xml:space="preserve">:  </w:t>
      </w:r>
    </w:p>
    <w:p w:rsidR="002C3A6D" w:rsidRPr="002C3A6D" w:rsidRDefault="00CF3015" w:rsidP="00A02603">
      <w:pPr>
        <w:pStyle w:val="Heading3"/>
        <w:numPr>
          <w:ilvl w:val="1"/>
          <w:numId w:val="7"/>
        </w:numPr>
        <w:ind w:left="2160"/>
        <w:rPr>
          <w:u w:val="none"/>
        </w:rPr>
      </w:pPr>
      <w:r w:rsidRPr="00DF0748">
        <w:rPr>
          <w:bCs/>
          <w:u w:val="none"/>
        </w:rPr>
        <w:t xml:space="preserve">In patients reporting for routine </w:t>
      </w:r>
      <w:r w:rsidRPr="00CE10F7">
        <w:rPr>
          <w:bCs/>
          <w:i/>
          <w:u w:val="none"/>
        </w:rPr>
        <w:t xml:space="preserve">dental </w:t>
      </w:r>
      <w:r w:rsidRPr="00DF0748">
        <w:rPr>
          <w:bCs/>
          <w:u w:val="none"/>
        </w:rPr>
        <w:t>care, screening for or</w:t>
      </w:r>
      <w:r w:rsidRPr="007B3B86">
        <w:rPr>
          <w:bCs/>
          <w:u w:val="none"/>
        </w:rPr>
        <w:t>al cancer provided by dentists</w:t>
      </w:r>
      <w:r>
        <w:rPr>
          <w:bCs/>
          <w:u w:val="none"/>
        </w:rPr>
        <w:t xml:space="preserve"> </w:t>
      </w:r>
      <w:r w:rsidRPr="00DF0748">
        <w:rPr>
          <w:bCs/>
          <w:u w:val="none"/>
        </w:rPr>
        <w:t>is one component of the patient evaluation to detect any oral abnormality.</w:t>
      </w:r>
      <w:r w:rsidR="00746EEF">
        <w:rPr>
          <w:bCs/>
          <w:u w:val="none"/>
          <w:vertAlign w:val="superscript"/>
        </w:rPr>
        <w:t>11</w:t>
      </w:r>
      <w:r w:rsidR="008C4D09" w:rsidRPr="00DF0748">
        <w:rPr>
          <w:bCs/>
          <w:u w:val="none"/>
        </w:rPr>
        <w:t xml:space="preserve">  </w:t>
      </w:r>
    </w:p>
    <w:p w:rsidR="00CF3015" w:rsidRPr="00DF0748" w:rsidRDefault="00CF3015" w:rsidP="00A02603">
      <w:pPr>
        <w:pStyle w:val="Heading3"/>
        <w:numPr>
          <w:ilvl w:val="1"/>
          <w:numId w:val="7"/>
        </w:numPr>
        <w:ind w:left="2160"/>
        <w:rPr>
          <w:u w:val="none"/>
        </w:rPr>
      </w:pPr>
      <w:r w:rsidRPr="00DF0748">
        <w:rPr>
          <w:bCs/>
          <w:u w:val="none"/>
        </w:rPr>
        <w:t xml:space="preserve">Similarly, in patients reporting for routine </w:t>
      </w:r>
      <w:r w:rsidRPr="00CE10F7">
        <w:rPr>
          <w:bCs/>
          <w:i/>
          <w:u w:val="none"/>
        </w:rPr>
        <w:t>medical</w:t>
      </w:r>
      <w:r w:rsidRPr="00DF0748">
        <w:rPr>
          <w:bCs/>
          <w:u w:val="none"/>
        </w:rPr>
        <w:t xml:space="preserve"> examination, screening for oral cancer is one component of the patient evaluation to detect any oral abnormality.  </w:t>
      </w:r>
    </w:p>
    <w:p w:rsidR="00CF3015" w:rsidRPr="00DF0748" w:rsidRDefault="00CF3015" w:rsidP="00A02603">
      <w:pPr>
        <w:pStyle w:val="Heading3"/>
        <w:numPr>
          <w:ilvl w:val="0"/>
          <w:numId w:val="0"/>
        </w:numPr>
        <w:ind w:left="1800"/>
        <w:rPr>
          <w:u w:val="none"/>
        </w:rPr>
      </w:pPr>
    </w:p>
    <w:p w:rsidR="00CF3015" w:rsidRDefault="00CF3015" w:rsidP="00A02603">
      <w:pPr>
        <w:pStyle w:val="Heading3"/>
        <w:numPr>
          <w:ilvl w:val="0"/>
          <w:numId w:val="7"/>
        </w:numPr>
        <w:ind w:left="1440"/>
        <w:rPr>
          <w:u w:val="none"/>
        </w:rPr>
      </w:pPr>
      <w:r w:rsidRPr="00DF0748">
        <w:rPr>
          <w:u w:val="none"/>
        </w:rPr>
        <w:t>Targeted public health screening</w:t>
      </w:r>
      <w:r w:rsidR="00A0318E">
        <w:rPr>
          <w:u w:val="none"/>
        </w:rPr>
        <w:t xml:space="preserve"> for oral cancer</w:t>
      </w:r>
      <w:r w:rsidR="00CD3C1F">
        <w:rPr>
          <w:u w:val="none"/>
        </w:rPr>
        <w:t>:</w:t>
      </w:r>
      <w:r w:rsidR="004E2B27">
        <w:rPr>
          <w:u w:val="none"/>
        </w:rPr>
        <w:t xml:space="preserve"> </w:t>
      </w:r>
      <w:r w:rsidRPr="00DF0748">
        <w:rPr>
          <w:u w:val="none"/>
        </w:rPr>
        <w:t>Targeted public health screening may be considered if</w:t>
      </w:r>
      <w:r>
        <w:rPr>
          <w:u w:val="none"/>
        </w:rPr>
        <w:t>:</w:t>
      </w:r>
    </w:p>
    <w:p w:rsidR="00F1440A" w:rsidRPr="004458EC" w:rsidRDefault="00F1440A" w:rsidP="00A02603">
      <w:pPr>
        <w:pStyle w:val="Heading3"/>
        <w:numPr>
          <w:ilvl w:val="1"/>
          <w:numId w:val="7"/>
        </w:numPr>
        <w:ind w:left="2160"/>
        <w:rPr>
          <w:u w:val="none"/>
        </w:rPr>
      </w:pPr>
      <w:r w:rsidRPr="008830B8">
        <w:rPr>
          <w:u w:val="none"/>
        </w:rPr>
        <w:t>Screening</w:t>
      </w:r>
      <w:r w:rsidRPr="00DF0748">
        <w:rPr>
          <w:u w:val="none"/>
        </w:rPr>
        <w:t xml:space="preserve"> can occur among people at </w:t>
      </w:r>
      <w:r>
        <w:rPr>
          <w:u w:val="none"/>
        </w:rPr>
        <w:t>high</w:t>
      </w:r>
      <w:r w:rsidRPr="00DF0748">
        <w:rPr>
          <w:u w:val="none"/>
        </w:rPr>
        <w:t xml:space="preserve"> risk of oral cancer who are unlikely to have routine dental and medical care</w:t>
      </w:r>
      <w:r>
        <w:rPr>
          <w:u w:val="none"/>
        </w:rPr>
        <w:t xml:space="preserve"> (for example, heavy smokers and/or chronic alcohol users), and </w:t>
      </w:r>
    </w:p>
    <w:p w:rsidR="00F1440A" w:rsidRPr="00F1440A" w:rsidRDefault="00CF3015" w:rsidP="00A02603">
      <w:pPr>
        <w:pStyle w:val="Heading3"/>
        <w:numPr>
          <w:ilvl w:val="1"/>
          <w:numId w:val="7"/>
        </w:numPr>
        <w:ind w:left="2160"/>
      </w:pPr>
      <w:r w:rsidRPr="00F1440A">
        <w:rPr>
          <w:u w:val="none"/>
        </w:rPr>
        <w:t>Follow-up for abnormalities detected during screening can be assured</w:t>
      </w:r>
      <w:r w:rsidR="004E2B27">
        <w:rPr>
          <w:u w:val="none"/>
        </w:rPr>
        <w:t>.</w:t>
      </w:r>
    </w:p>
    <w:p w:rsidR="00CF3015" w:rsidRPr="007B3B86" w:rsidRDefault="00CF3015" w:rsidP="00DF0748"/>
    <w:p w:rsidR="00CF3015" w:rsidRPr="003F6DDF" w:rsidRDefault="00CF3015" w:rsidP="00DF0748">
      <w:pPr>
        <w:pStyle w:val="Heading2"/>
        <w:ind w:left="990" w:hanging="360"/>
        <w:rPr>
          <w:b w:val="0"/>
          <w:u w:val="none"/>
        </w:rPr>
      </w:pPr>
      <w:r>
        <w:rPr>
          <w:b w:val="0"/>
          <w:u w:val="none"/>
        </w:rPr>
        <w:t>In settings of opportunistic screening or targeted public health screening</w:t>
      </w:r>
      <w:r w:rsidR="00A0318E">
        <w:rPr>
          <w:b w:val="0"/>
          <w:u w:val="none"/>
        </w:rPr>
        <w:t xml:space="preserve"> for oral cancer</w:t>
      </w:r>
      <w:r>
        <w:rPr>
          <w:b w:val="0"/>
          <w:u w:val="none"/>
        </w:rPr>
        <w:t xml:space="preserve"> (I</w:t>
      </w:r>
      <w:r w:rsidR="001E416A">
        <w:rPr>
          <w:b w:val="0"/>
          <w:u w:val="none"/>
        </w:rPr>
        <w:t>I</w:t>
      </w:r>
      <w:r>
        <w:rPr>
          <w:b w:val="0"/>
          <w:u w:val="none"/>
        </w:rPr>
        <w:t>I. A, above)</w:t>
      </w:r>
      <w:r w:rsidR="00A0318E">
        <w:rPr>
          <w:b w:val="0"/>
          <w:u w:val="none"/>
        </w:rPr>
        <w:t xml:space="preserve">: </w:t>
      </w:r>
      <w:r>
        <w:rPr>
          <w:b w:val="0"/>
          <w:u w:val="none"/>
        </w:rPr>
        <w:t xml:space="preserve"> </w:t>
      </w:r>
      <w:r w:rsidR="00A0318E">
        <w:rPr>
          <w:b w:val="0"/>
          <w:u w:val="none"/>
        </w:rPr>
        <w:t>S</w:t>
      </w:r>
      <w:r>
        <w:rPr>
          <w:b w:val="0"/>
          <w:u w:val="none"/>
        </w:rPr>
        <w:t xml:space="preserve">creen </w:t>
      </w:r>
      <w:r w:rsidR="00DF74F5">
        <w:rPr>
          <w:b w:val="0"/>
          <w:u w:val="none"/>
        </w:rPr>
        <w:t>f</w:t>
      </w:r>
      <w:r>
        <w:rPr>
          <w:b w:val="0"/>
          <w:u w:val="none"/>
        </w:rPr>
        <w:t>or oral cancer those at average or increased risk.</w:t>
      </w:r>
      <w:r w:rsidR="003F6DDF">
        <w:rPr>
          <w:b w:val="0"/>
          <w:u w:val="none"/>
        </w:rPr>
        <w:t xml:space="preserve"> </w:t>
      </w:r>
    </w:p>
    <w:p w:rsidR="00A0318E" w:rsidRPr="003F6DDF" w:rsidRDefault="00A0318E" w:rsidP="00CE10F7"/>
    <w:p w:rsidR="00CF3015" w:rsidRPr="00DF0748" w:rsidRDefault="00CF3015" w:rsidP="00CE10F7">
      <w:pPr>
        <w:pStyle w:val="BodyTextIndent"/>
        <w:ind w:left="1350"/>
      </w:pPr>
      <w:r>
        <w:tab/>
      </w:r>
      <w:r w:rsidRPr="00DF0748">
        <w:t>Actions</w:t>
      </w:r>
      <w:r w:rsidR="00B07B93">
        <w:t>:</w:t>
      </w:r>
    </w:p>
    <w:p w:rsidR="00CF3015" w:rsidRDefault="00CF3015" w:rsidP="00BF458E">
      <w:pPr>
        <w:numPr>
          <w:ilvl w:val="0"/>
          <w:numId w:val="4"/>
        </w:numPr>
        <w:tabs>
          <w:tab w:val="clear" w:pos="360"/>
          <w:tab w:val="num" w:pos="1800"/>
        </w:tabs>
        <w:ind w:left="1800"/>
        <w:rPr>
          <w:sz w:val="24"/>
        </w:rPr>
      </w:pPr>
      <w:r>
        <w:rPr>
          <w:sz w:val="24"/>
        </w:rPr>
        <w:t xml:space="preserve">Perform </w:t>
      </w:r>
      <w:r w:rsidRPr="00DF0748">
        <w:rPr>
          <w:sz w:val="24"/>
        </w:rPr>
        <w:t xml:space="preserve">oral cancer </w:t>
      </w:r>
      <w:r w:rsidR="000164EB">
        <w:rPr>
          <w:sz w:val="24"/>
        </w:rPr>
        <w:t>screening</w:t>
      </w:r>
      <w:r w:rsidR="000164EB" w:rsidRPr="00DF0748">
        <w:rPr>
          <w:sz w:val="24"/>
        </w:rPr>
        <w:t xml:space="preserve"> </w:t>
      </w:r>
      <w:r w:rsidRPr="00DF0748">
        <w:rPr>
          <w:sz w:val="24"/>
        </w:rPr>
        <w:t>examination</w:t>
      </w:r>
      <w:r w:rsidRPr="007B3B86">
        <w:rPr>
          <w:sz w:val="24"/>
        </w:rPr>
        <w:t xml:space="preserve"> </w:t>
      </w:r>
      <w:r>
        <w:rPr>
          <w:sz w:val="24"/>
        </w:rPr>
        <w:t>annually</w:t>
      </w:r>
    </w:p>
    <w:p w:rsidR="00CF3015" w:rsidRDefault="00CF3015" w:rsidP="00BF458E">
      <w:pPr>
        <w:numPr>
          <w:ilvl w:val="0"/>
          <w:numId w:val="4"/>
        </w:numPr>
        <w:tabs>
          <w:tab w:val="clear" w:pos="360"/>
          <w:tab w:val="num" w:pos="2160"/>
        </w:tabs>
        <w:ind w:left="2160"/>
        <w:rPr>
          <w:sz w:val="24"/>
        </w:rPr>
      </w:pPr>
      <w:r>
        <w:rPr>
          <w:sz w:val="24"/>
        </w:rPr>
        <w:t>Perioral and intraoral soft tissue exam by visualization and palpation</w:t>
      </w:r>
    </w:p>
    <w:p w:rsidR="00CF3015" w:rsidRDefault="00CF3015" w:rsidP="00BF458E">
      <w:pPr>
        <w:numPr>
          <w:ilvl w:val="0"/>
          <w:numId w:val="4"/>
        </w:numPr>
        <w:tabs>
          <w:tab w:val="clear" w:pos="360"/>
          <w:tab w:val="num" w:pos="2160"/>
        </w:tabs>
        <w:ind w:left="2160"/>
        <w:rPr>
          <w:sz w:val="24"/>
        </w:rPr>
      </w:pPr>
      <w:proofErr w:type="spellStart"/>
      <w:r>
        <w:rPr>
          <w:sz w:val="24"/>
        </w:rPr>
        <w:t>Extraoral</w:t>
      </w:r>
      <w:proofErr w:type="spellEnd"/>
      <w:r>
        <w:rPr>
          <w:sz w:val="24"/>
        </w:rPr>
        <w:t xml:space="preserve"> exam by visualization and palpation</w:t>
      </w:r>
    </w:p>
    <w:p w:rsidR="00CF3015" w:rsidRPr="004458EC" w:rsidRDefault="00CF3015" w:rsidP="00DF0748">
      <w:pPr>
        <w:ind w:left="2160"/>
        <w:rPr>
          <w:sz w:val="24"/>
        </w:rPr>
      </w:pPr>
    </w:p>
    <w:p w:rsidR="00DF74F5" w:rsidRPr="00AE51C9" w:rsidRDefault="00044C8D" w:rsidP="00F67922">
      <w:pPr>
        <w:pStyle w:val="Heading3"/>
        <w:rPr>
          <w:u w:val="none"/>
        </w:rPr>
      </w:pPr>
      <w:r w:rsidRPr="00AE51C9">
        <w:rPr>
          <w:u w:val="none"/>
        </w:rPr>
        <w:t>It is possible that</w:t>
      </w:r>
      <w:r w:rsidR="00DF74F5" w:rsidRPr="00AE51C9">
        <w:rPr>
          <w:u w:val="none"/>
        </w:rPr>
        <w:t xml:space="preserve"> those </w:t>
      </w:r>
      <w:r w:rsidR="00D70F91" w:rsidRPr="00AE51C9">
        <w:rPr>
          <w:u w:val="none"/>
        </w:rPr>
        <w:t xml:space="preserve">adults </w:t>
      </w:r>
      <w:r w:rsidR="00DF74F5" w:rsidRPr="00AE51C9">
        <w:rPr>
          <w:u w:val="none"/>
        </w:rPr>
        <w:t>with symptoms suggestive of oral cancer</w:t>
      </w:r>
      <w:r w:rsidR="00122E84" w:rsidRPr="00AE51C9">
        <w:rPr>
          <w:u w:val="none"/>
        </w:rPr>
        <w:t xml:space="preserve"> may be seen in a screening setting.  Although an oral cancer screening exam may be performed, an o</w:t>
      </w:r>
      <w:r w:rsidR="00DF74F5" w:rsidRPr="00AE51C9">
        <w:rPr>
          <w:u w:val="none"/>
        </w:rPr>
        <w:t xml:space="preserve">ral cancer </w:t>
      </w:r>
      <w:r w:rsidR="004F122B" w:rsidRPr="00AE51C9">
        <w:rPr>
          <w:u w:val="none"/>
        </w:rPr>
        <w:t xml:space="preserve">diagnostic </w:t>
      </w:r>
      <w:r w:rsidR="00DF74F5" w:rsidRPr="00AE51C9">
        <w:rPr>
          <w:u w:val="none"/>
        </w:rPr>
        <w:t>exam</w:t>
      </w:r>
      <w:r w:rsidR="00122E84" w:rsidRPr="00AE51C9">
        <w:rPr>
          <w:u w:val="none"/>
        </w:rPr>
        <w:t xml:space="preserve"> is needed</w:t>
      </w:r>
      <w:r w:rsidR="00F96A2F" w:rsidRPr="00AE51C9">
        <w:rPr>
          <w:u w:val="none"/>
        </w:rPr>
        <w:t xml:space="preserve"> </w:t>
      </w:r>
      <w:r w:rsidR="00122E84" w:rsidRPr="00AE51C9">
        <w:rPr>
          <w:u w:val="none"/>
        </w:rPr>
        <w:t>depending on the degree and duration of symptoms and initial findings</w:t>
      </w:r>
      <w:r w:rsidR="00764A36" w:rsidRPr="00AE51C9">
        <w:rPr>
          <w:u w:val="none"/>
        </w:rPr>
        <w:t xml:space="preserve"> of the exam.</w:t>
      </w:r>
      <w:r w:rsidR="002C3A6D" w:rsidRPr="00AE51C9">
        <w:rPr>
          <w:u w:val="none"/>
        </w:rPr>
        <w:t xml:space="preserve"> (</w:t>
      </w:r>
      <w:r w:rsidR="00764A36" w:rsidRPr="00AE51C9">
        <w:rPr>
          <w:u w:val="none"/>
        </w:rPr>
        <w:t xml:space="preserve">The components of a diagnostic exam are </w:t>
      </w:r>
      <w:r w:rsidR="002C3A6D" w:rsidRPr="00AE51C9">
        <w:rPr>
          <w:u w:val="none"/>
        </w:rPr>
        <w:t>beyond the scope of these Minimal Elements).</w:t>
      </w:r>
    </w:p>
    <w:p w:rsidR="00DF74F5" w:rsidRPr="00DF74F5" w:rsidRDefault="00DF74F5" w:rsidP="00CE10F7"/>
    <w:p w:rsidR="00BF458E" w:rsidRDefault="00CF3015" w:rsidP="00DF0748">
      <w:pPr>
        <w:pStyle w:val="Heading2"/>
        <w:ind w:left="990" w:hanging="360"/>
        <w:rPr>
          <w:b w:val="0"/>
          <w:u w:val="none"/>
        </w:rPr>
      </w:pPr>
      <w:r w:rsidRPr="00DF0748">
        <w:rPr>
          <w:b w:val="0"/>
          <w:u w:val="none"/>
        </w:rPr>
        <w:t xml:space="preserve">Educate </w:t>
      </w:r>
      <w:r w:rsidR="00F67922">
        <w:rPr>
          <w:b w:val="0"/>
          <w:u w:val="none"/>
        </w:rPr>
        <w:t xml:space="preserve">the general public </w:t>
      </w:r>
      <w:r w:rsidRPr="00DF0748">
        <w:rPr>
          <w:b w:val="0"/>
          <w:u w:val="none"/>
        </w:rPr>
        <w:t xml:space="preserve">on risk reduction: </w:t>
      </w:r>
    </w:p>
    <w:p w:rsidR="00F67922" w:rsidRDefault="00CF3015" w:rsidP="00A02603">
      <w:pPr>
        <w:pStyle w:val="Heading2"/>
        <w:numPr>
          <w:ilvl w:val="0"/>
          <w:numId w:val="0"/>
        </w:numPr>
        <w:ind w:left="990"/>
        <w:rPr>
          <w:b w:val="0"/>
          <w:u w:val="none"/>
        </w:rPr>
      </w:pPr>
      <w:r w:rsidRPr="00DF0748">
        <w:rPr>
          <w:b w:val="0"/>
          <w:u w:val="none"/>
        </w:rPr>
        <w:t xml:space="preserve"> </w:t>
      </w:r>
    </w:p>
    <w:p w:rsidR="00CF3015" w:rsidRPr="00DF0748" w:rsidRDefault="00CF3015" w:rsidP="00F67922">
      <w:pPr>
        <w:pStyle w:val="Heading2"/>
        <w:numPr>
          <w:ilvl w:val="0"/>
          <w:numId w:val="0"/>
        </w:numPr>
        <w:ind w:left="990"/>
        <w:rPr>
          <w:b w:val="0"/>
          <w:u w:val="none"/>
        </w:rPr>
      </w:pPr>
      <w:r w:rsidRPr="00DF0748">
        <w:rPr>
          <w:b w:val="0"/>
          <w:u w:val="none"/>
        </w:rPr>
        <w:t xml:space="preserve">Educate about risk factors and </w:t>
      </w:r>
      <w:r w:rsidR="002C3A6D">
        <w:rPr>
          <w:b w:val="0"/>
          <w:u w:val="none"/>
        </w:rPr>
        <w:t xml:space="preserve">actions (pages </w:t>
      </w:r>
      <w:r w:rsidR="00BB6415">
        <w:rPr>
          <w:b w:val="0"/>
          <w:u w:val="none"/>
        </w:rPr>
        <w:t>2</w:t>
      </w:r>
      <w:r w:rsidR="002C3A6D">
        <w:rPr>
          <w:b w:val="0"/>
          <w:u w:val="none"/>
        </w:rPr>
        <w:t>--3</w:t>
      </w:r>
      <w:r w:rsidR="00BB6415">
        <w:rPr>
          <w:b w:val="0"/>
          <w:u w:val="none"/>
        </w:rPr>
        <w:t>, above</w:t>
      </w:r>
      <w:r w:rsidR="00BD0538">
        <w:rPr>
          <w:b w:val="0"/>
          <w:u w:val="none"/>
        </w:rPr>
        <w:t>)</w:t>
      </w:r>
      <w:r w:rsidRPr="00DF0748">
        <w:rPr>
          <w:b w:val="0"/>
          <w:u w:val="none"/>
        </w:rPr>
        <w:t>.</w:t>
      </w:r>
      <w:r w:rsidR="00D42728" w:rsidRPr="00764A36">
        <w:rPr>
          <w:b w:val="0"/>
          <w:szCs w:val="24"/>
          <w:u w:val="none"/>
        </w:rPr>
        <w:t xml:space="preserve"> </w:t>
      </w:r>
      <w:r w:rsidR="00D42728" w:rsidRPr="00D42728">
        <w:rPr>
          <w:b w:val="0"/>
          <w:u w:val="none"/>
        </w:rPr>
        <w:t xml:space="preserve">Certain risk factors, such as </w:t>
      </w:r>
      <w:r w:rsidR="00D42728">
        <w:rPr>
          <w:b w:val="0"/>
          <w:u w:val="none"/>
        </w:rPr>
        <w:t xml:space="preserve">tobacco use, </w:t>
      </w:r>
      <w:r w:rsidR="00D42728" w:rsidRPr="00D42728">
        <w:rPr>
          <w:b w:val="0"/>
          <w:u w:val="none"/>
        </w:rPr>
        <w:t xml:space="preserve">drinking alcohol, HPV infection, and sun exposure increase the risk of oral cancer. </w:t>
      </w:r>
      <w:r w:rsidR="003F6DDF">
        <w:rPr>
          <w:b w:val="0"/>
          <w:u w:val="none"/>
        </w:rPr>
        <w:t xml:space="preserve"> </w:t>
      </w:r>
      <w:r w:rsidR="00764A36">
        <w:rPr>
          <w:b w:val="0"/>
          <w:u w:val="none"/>
        </w:rPr>
        <w:t xml:space="preserve">Studies have shown that quitting smoking decreases the risk of developing oral cancer.  </w:t>
      </w:r>
      <w:r w:rsidR="00D42728" w:rsidRPr="00D42728">
        <w:rPr>
          <w:b w:val="0"/>
          <w:u w:val="none"/>
        </w:rPr>
        <w:t xml:space="preserve">It may seem that by avoiding </w:t>
      </w:r>
      <w:r w:rsidR="00764A36" w:rsidRPr="00D42728">
        <w:rPr>
          <w:b w:val="0"/>
          <w:u w:val="none"/>
        </w:rPr>
        <w:t>drinking alcohol, HPV infection, and sun exposure</w:t>
      </w:r>
      <w:r w:rsidR="00D42728" w:rsidRPr="00D42728">
        <w:rPr>
          <w:b w:val="0"/>
          <w:u w:val="none"/>
        </w:rPr>
        <w:t>, the chance of having oral cancer would decrease, but that has not been proven.</w:t>
      </w:r>
      <w:r w:rsidR="00EE7FCE" w:rsidRPr="00EE7FCE">
        <w:rPr>
          <w:b w:val="0"/>
          <w:u w:val="none"/>
          <w:vertAlign w:val="superscript"/>
        </w:rPr>
        <w:t>12</w:t>
      </w:r>
      <w:r w:rsidR="00005F2D">
        <w:rPr>
          <w:b w:val="0"/>
          <w:u w:val="none"/>
          <w:vertAlign w:val="superscript"/>
        </w:rPr>
        <w:t xml:space="preserve"> </w:t>
      </w:r>
    </w:p>
    <w:p w:rsidR="00CF3015" w:rsidRPr="00DF0748" w:rsidRDefault="00CF3015" w:rsidP="00DF0748">
      <w:pPr>
        <w:pStyle w:val="Heading2"/>
        <w:numPr>
          <w:ilvl w:val="0"/>
          <w:numId w:val="0"/>
        </w:numPr>
        <w:ind w:left="630"/>
        <w:rPr>
          <w:b w:val="0"/>
          <w:u w:val="none"/>
        </w:rPr>
      </w:pPr>
    </w:p>
    <w:p w:rsidR="00CF3015" w:rsidRDefault="00CF3015" w:rsidP="00DF0748">
      <w:pPr>
        <w:pStyle w:val="Heading2"/>
        <w:rPr>
          <w:b w:val="0"/>
          <w:u w:val="none"/>
        </w:rPr>
      </w:pPr>
      <w:r>
        <w:rPr>
          <w:b w:val="0"/>
          <w:u w:val="none"/>
        </w:rPr>
        <w:t>Individuals who can perform a</w:t>
      </w:r>
      <w:r w:rsidR="004F122B">
        <w:rPr>
          <w:b w:val="0"/>
          <w:u w:val="none"/>
        </w:rPr>
        <w:t>n</w:t>
      </w:r>
      <w:r>
        <w:rPr>
          <w:b w:val="0"/>
          <w:u w:val="none"/>
        </w:rPr>
        <w:t xml:space="preserve"> oral cancer </w:t>
      </w:r>
      <w:r w:rsidR="00513825">
        <w:rPr>
          <w:b w:val="0"/>
          <w:u w:val="none"/>
        </w:rPr>
        <w:t xml:space="preserve">screening </w:t>
      </w:r>
      <w:r>
        <w:rPr>
          <w:b w:val="0"/>
          <w:u w:val="none"/>
        </w:rPr>
        <w:t>exam:</w:t>
      </w:r>
    </w:p>
    <w:p w:rsidR="00CF3015" w:rsidRDefault="00CF3015"/>
    <w:p w:rsidR="00CF3015" w:rsidRDefault="00CF3015" w:rsidP="00A02603">
      <w:pPr>
        <w:pStyle w:val="Heading3"/>
        <w:numPr>
          <w:ilvl w:val="0"/>
          <w:numId w:val="0"/>
        </w:numPr>
        <w:ind w:left="990"/>
        <w:rPr>
          <w:u w:val="none"/>
        </w:rPr>
      </w:pPr>
      <w:r w:rsidRPr="00F96A2F">
        <w:rPr>
          <w:u w:val="none"/>
        </w:rPr>
        <w:t>Dentists, dental hygienists, physicians, physician assistants, and nurse practitioners</w:t>
      </w:r>
      <w:r w:rsidR="00905D6F" w:rsidRPr="00F96A2F">
        <w:rPr>
          <w:u w:val="none"/>
        </w:rPr>
        <w:t xml:space="preserve">, with </w:t>
      </w:r>
      <w:r w:rsidR="00905D6F" w:rsidRPr="00AE51C9">
        <w:rPr>
          <w:u w:val="none"/>
        </w:rPr>
        <w:t>proper training,</w:t>
      </w:r>
      <w:r w:rsidRPr="00AE51C9">
        <w:rPr>
          <w:u w:val="none"/>
        </w:rPr>
        <w:t xml:space="preserve"> can all perform a</w:t>
      </w:r>
      <w:r w:rsidR="00BB6415" w:rsidRPr="00AE51C9">
        <w:rPr>
          <w:u w:val="none"/>
        </w:rPr>
        <w:t>n</w:t>
      </w:r>
      <w:r w:rsidRPr="00AE51C9">
        <w:rPr>
          <w:u w:val="none"/>
        </w:rPr>
        <w:t xml:space="preserve"> oral cancer exam in Maryland.  </w:t>
      </w:r>
      <w:r w:rsidR="00905D6F" w:rsidRPr="00AE51C9">
        <w:rPr>
          <w:u w:val="none"/>
        </w:rPr>
        <w:t xml:space="preserve">In the event providers </w:t>
      </w:r>
      <w:r w:rsidR="00905D6F" w:rsidRPr="00AE51C9">
        <w:rPr>
          <w:u w:val="none"/>
        </w:rPr>
        <w:lastRenderedPageBreak/>
        <w:t xml:space="preserve">who cannot </w:t>
      </w:r>
      <w:r w:rsidR="00F96A2F" w:rsidRPr="00AE51C9">
        <w:rPr>
          <w:u w:val="none"/>
        </w:rPr>
        <w:t>make diagnoses</w:t>
      </w:r>
      <w:r w:rsidR="00905D6F" w:rsidRPr="00AE51C9">
        <w:rPr>
          <w:u w:val="none"/>
        </w:rPr>
        <w:t xml:space="preserve"> (</w:t>
      </w:r>
      <w:r w:rsidR="00B07B93" w:rsidRPr="00AE51C9">
        <w:rPr>
          <w:u w:val="none"/>
        </w:rPr>
        <w:t xml:space="preserve">e.g., </w:t>
      </w:r>
      <w:r w:rsidR="00905D6F" w:rsidRPr="00AE51C9">
        <w:rPr>
          <w:u w:val="none"/>
        </w:rPr>
        <w:t>dental hygienists, physician assistants, and nurse practitioners) discover</w:t>
      </w:r>
      <w:r w:rsidR="00905D6F" w:rsidRPr="00F96A2F">
        <w:rPr>
          <w:u w:val="none"/>
        </w:rPr>
        <w:t xml:space="preserve"> an oral </w:t>
      </w:r>
      <w:r w:rsidR="00F96A2F">
        <w:rPr>
          <w:u w:val="none"/>
        </w:rPr>
        <w:t>finding</w:t>
      </w:r>
      <w:r w:rsidR="00905D6F" w:rsidRPr="00F96A2F">
        <w:rPr>
          <w:u w:val="none"/>
        </w:rPr>
        <w:t xml:space="preserve"> of concern, this finding should be reviewed by a</w:t>
      </w:r>
      <w:r w:rsidR="00B14BF6">
        <w:rPr>
          <w:u w:val="none"/>
        </w:rPr>
        <w:t xml:space="preserve">ppropriately trained </w:t>
      </w:r>
      <w:r w:rsidR="00905D6F" w:rsidRPr="00F96A2F">
        <w:rPr>
          <w:u w:val="none"/>
        </w:rPr>
        <w:t>dentist</w:t>
      </w:r>
      <w:r w:rsidR="00B14BF6">
        <w:rPr>
          <w:u w:val="none"/>
        </w:rPr>
        <w:t>s</w:t>
      </w:r>
      <w:r w:rsidR="00905D6F" w:rsidRPr="00F96A2F">
        <w:rPr>
          <w:u w:val="none"/>
        </w:rPr>
        <w:t xml:space="preserve"> or physician</w:t>
      </w:r>
      <w:r w:rsidR="00B14BF6">
        <w:rPr>
          <w:u w:val="none"/>
        </w:rPr>
        <w:t>s</w:t>
      </w:r>
      <w:r w:rsidR="00905D6F" w:rsidRPr="00F96A2F">
        <w:rPr>
          <w:u w:val="none"/>
        </w:rPr>
        <w:t>.</w:t>
      </w:r>
      <w:r w:rsidR="00905D6F">
        <w:rPr>
          <w:u w:val="none"/>
        </w:rPr>
        <w:t xml:space="preserve"> </w:t>
      </w:r>
    </w:p>
    <w:p w:rsidR="00905D6F" w:rsidRPr="00905D6F" w:rsidRDefault="00905D6F" w:rsidP="00905D6F"/>
    <w:p w:rsidR="00905D6F" w:rsidRDefault="00905D6F" w:rsidP="00905D6F">
      <w:pPr>
        <w:pStyle w:val="Heading2"/>
        <w:rPr>
          <w:b w:val="0"/>
          <w:u w:val="none"/>
        </w:rPr>
      </w:pPr>
      <w:r w:rsidRPr="00DF0748">
        <w:rPr>
          <w:b w:val="0"/>
          <w:u w:val="none"/>
        </w:rPr>
        <w:t>Training</w:t>
      </w:r>
      <w:r>
        <w:rPr>
          <w:b w:val="0"/>
          <w:u w:val="none"/>
        </w:rPr>
        <w:t>:</w:t>
      </w:r>
    </w:p>
    <w:p w:rsidR="00905D6F" w:rsidRPr="002C3A6D" w:rsidRDefault="00905D6F" w:rsidP="00905D6F"/>
    <w:p w:rsidR="00905D6F" w:rsidRDefault="00905D6F" w:rsidP="00A02603">
      <w:pPr>
        <w:pStyle w:val="Heading3"/>
        <w:numPr>
          <w:ilvl w:val="0"/>
          <w:numId w:val="0"/>
        </w:numPr>
        <w:ind w:left="990"/>
        <w:rPr>
          <w:u w:val="none"/>
        </w:rPr>
      </w:pPr>
      <w:r>
        <w:rPr>
          <w:u w:val="none"/>
        </w:rPr>
        <w:t xml:space="preserve">Training during college or post graduate school and continuing post graduate education/training on how to conduct an oral cancer screening exam is recommended.  Training should be based on standards set forth by the National Institute of Dental and Craniofacial Research:   </w:t>
      </w:r>
      <w:hyperlink r:id="rId11" w:history="1">
        <w:r w:rsidR="007A4D04" w:rsidRPr="00FE77F9">
          <w:rPr>
            <w:rStyle w:val="Hyperlink"/>
          </w:rPr>
          <w:t>http://www.nidcr.nih.gov/OralHealth/Topics/OralCancer/TheOralCancerExam.htm</w:t>
        </w:r>
      </w:hyperlink>
      <w:r w:rsidR="007A4D04">
        <w:rPr>
          <w:u w:val="none"/>
        </w:rPr>
        <w:t>.</w:t>
      </w:r>
    </w:p>
    <w:p w:rsidR="00905D6F" w:rsidRPr="00905D6F" w:rsidRDefault="00905D6F" w:rsidP="00905D6F"/>
    <w:p w:rsidR="00CF3015" w:rsidRDefault="00CF3015" w:rsidP="00DF0748">
      <w:pPr>
        <w:pStyle w:val="Heading2"/>
        <w:rPr>
          <w:b w:val="0"/>
          <w:u w:val="none"/>
        </w:rPr>
      </w:pPr>
      <w:r>
        <w:rPr>
          <w:b w:val="0"/>
          <w:u w:val="none"/>
        </w:rPr>
        <w:t xml:space="preserve">Equipment needed to perform an oral cancer </w:t>
      </w:r>
      <w:r w:rsidR="00513825">
        <w:rPr>
          <w:b w:val="0"/>
          <w:u w:val="none"/>
        </w:rPr>
        <w:t xml:space="preserve">screening </w:t>
      </w:r>
      <w:r>
        <w:rPr>
          <w:b w:val="0"/>
          <w:u w:val="none"/>
        </w:rPr>
        <w:t>exam:</w:t>
      </w:r>
    </w:p>
    <w:p w:rsidR="00CF3015" w:rsidRDefault="00CF3015"/>
    <w:p w:rsidR="00CF3015" w:rsidRDefault="00CF3015" w:rsidP="00A02603">
      <w:pPr>
        <w:pStyle w:val="BodyText3"/>
        <w:ind w:left="990"/>
        <w:rPr>
          <w:b w:val="0"/>
          <w:bCs w:val="0"/>
        </w:rPr>
      </w:pPr>
      <w:r>
        <w:rPr>
          <w:b w:val="0"/>
          <w:bCs w:val="0"/>
        </w:rPr>
        <w:t>Screening can be done in any setting.  Equipment should consist of appropriate lighting (flash light or pen light) gauze, gloves, mask, mouth mirror or tongue blade</w:t>
      </w:r>
      <w:r w:rsidR="00F67922">
        <w:rPr>
          <w:b w:val="0"/>
          <w:bCs w:val="0"/>
        </w:rPr>
        <w:t xml:space="preserve">; </w:t>
      </w:r>
      <w:r>
        <w:rPr>
          <w:b w:val="0"/>
          <w:bCs w:val="0"/>
        </w:rPr>
        <w:t>special chair is optional.</w:t>
      </w:r>
    </w:p>
    <w:p w:rsidR="00CF3015" w:rsidRDefault="00CF3015">
      <w:pPr>
        <w:pStyle w:val="BodyText3"/>
        <w:ind w:left="1440"/>
        <w:rPr>
          <w:b w:val="0"/>
          <w:bCs w:val="0"/>
        </w:rPr>
      </w:pPr>
    </w:p>
    <w:p w:rsidR="00CF3015" w:rsidRDefault="00CF3015">
      <w:pPr>
        <w:rPr>
          <w:sz w:val="24"/>
        </w:rPr>
      </w:pPr>
    </w:p>
    <w:p w:rsidR="00CF3015" w:rsidRDefault="002B5849" w:rsidP="002B5849">
      <w:pPr>
        <w:pStyle w:val="Heading1"/>
        <w:numPr>
          <w:ilvl w:val="0"/>
          <w:numId w:val="0"/>
        </w:numPr>
        <w:rPr>
          <w:b/>
        </w:rPr>
      </w:pPr>
      <w:r>
        <w:rPr>
          <w:b/>
          <w:i w:val="0"/>
        </w:rPr>
        <w:t xml:space="preserve">IV. </w:t>
      </w:r>
      <w:r w:rsidR="00513825" w:rsidRPr="00CE10F7">
        <w:rPr>
          <w:b/>
          <w:i w:val="0"/>
        </w:rPr>
        <w:t xml:space="preserve">Oral Cancer Screening Examination </w:t>
      </w:r>
      <w:r w:rsidR="00CF3015" w:rsidRPr="00CE10F7">
        <w:rPr>
          <w:b/>
          <w:i w:val="0"/>
        </w:rPr>
        <w:t>Result Categories</w:t>
      </w:r>
      <w:r w:rsidR="00260A27" w:rsidRPr="00CE10F7">
        <w:rPr>
          <w:b/>
          <w:i w:val="0"/>
        </w:rPr>
        <w:t xml:space="preserve"> </w:t>
      </w:r>
    </w:p>
    <w:p w:rsidR="00332D7F" w:rsidRPr="00CE10F7" w:rsidRDefault="00332D7F"/>
    <w:p w:rsidR="00CF3015" w:rsidRDefault="00CF3015" w:rsidP="00BF458E">
      <w:pPr>
        <w:pStyle w:val="Heading2"/>
        <w:numPr>
          <w:ilvl w:val="1"/>
          <w:numId w:val="5"/>
        </w:numPr>
        <w:tabs>
          <w:tab w:val="clear" w:pos="720"/>
        </w:tabs>
        <w:ind w:left="1080" w:hanging="450"/>
        <w:rPr>
          <w:b w:val="0"/>
          <w:u w:val="none"/>
        </w:rPr>
      </w:pPr>
      <w:r>
        <w:rPr>
          <w:b w:val="0"/>
          <w:u w:val="none"/>
        </w:rPr>
        <w:t xml:space="preserve">Negative oral cancer </w:t>
      </w:r>
      <w:r w:rsidR="00513825">
        <w:rPr>
          <w:b w:val="0"/>
          <w:u w:val="none"/>
        </w:rPr>
        <w:t xml:space="preserve">screening </w:t>
      </w:r>
      <w:r>
        <w:rPr>
          <w:b w:val="0"/>
          <w:u w:val="none"/>
        </w:rPr>
        <w:t xml:space="preserve">examination: negative findings on perioral, intraoral, and </w:t>
      </w:r>
      <w:proofErr w:type="spellStart"/>
      <w:r>
        <w:rPr>
          <w:b w:val="0"/>
          <w:u w:val="none"/>
        </w:rPr>
        <w:t>extraoral</w:t>
      </w:r>
      <w:proofErr w:type="spellEnd"/>
      <w:r>
        <w:rPr>
          <w:b w:val="0"/>
          <w:u w:val="none"/>
        </w:rPr>
        <w:t xml:space="preserve"> examination</w:t>
      </w:r>
      <w:r w:rsidR="00CD328E">
        <w:rPr>
          <w:b w:val="0"/>
          <w:u w:val="none"/>
        </w:rPr>
        <w:t xml:space="preserve"> </w:t>
      </w:r>
    </w:p>
    <w:p w:rsidR="00CF3015" w:rsidRPr="005E4088" w:rsidRDefault="00CF3015" w:rsidP="00DF0748"/>
    <w:p w:rsidR="00CF3015" w:rsidRDefault="002B5849" w:rsidP="002B5849">
      <w:pPr>
        <w:pStyle w:val="Heading2"/>
        <w:numPr>
          <w:ilvl w:val="0"/>
          <w:numId w:val="0"/>
        </w:numPr>
        <w:tabs>
          <w:tab w:val="left" w:pos="720"/>
        </w:tabs>
        <w:ind w:left="630"/>
        <w:rPr>
          <w:b w:val="0"/>
          <w:u w:val="none"/>
        </w:rPr>
      </w:pPr>
      <w:r>
        <w:rPr>
          <w:b w:val="0"/>
          <w:u w:val="none"/>
        </w:rPr>
        <w:t xml:space="preserve">B. </w:t>
      </w:r>
      <w:r w:rsidR="00BD0538">
        <w:rPr>
          <w:b w:val="0"/>
          <w:u w:val="none"/>
        </w:rPr>
        <w:t>O</w:t>
      </w:r>
      <w:r w:rsidR="00CF3015">
        <w:rPr>
          <w:b w:val="0"/>
          <w:u w:val="none"/>
        </w:rPr>
        <w:t xml:space="preserve">ral cancer </w:t>
      </w:r>
      <w:r w:rsidR="00513825">
        <w:rPr>
          <w:b w:val="0"/>
          <w:u w:val="none"/>
        </w:rPr>
        <w:t xml:space="preserve">screening </w:t>
      </w:r>
      <w:r w:rsidR="00CF3015" w:rsidRPr="00F82E0A">
        <w:rPr>
          <w:b w:val="0"/>
          <w:u w:val="none"/>
        </w:rPr>
        <w:t>examination</w:t>
      </w:r>
      <w:r w:rsidR="00BD0538">
        <w:rPr>
          <w:b w:val="0"/>
          <w:u w:val="none"/>
        </w:rPr>
        <w:t>—positive for finding suggestive of oral cancer</w:t>
      </w:r>
    </w:p>
    <w:p w:rsidR="00CF3015" w:rsidRDefault="00CF301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C3A6D">
        <w:rPr>
          <w:sz w:val="24"/>
        </w:rPr>
        <w:t>M</w:t>
      </w:r>
      <w:r>
        <w:rPr>
          <w:sz w:val="24"/>
        </w:rPr>
        <w:t>ay include:</w:t>
      </w:r>
    </w:p>
    <w:p w:rsidR="00CF3015" w:rsidRDefault="00CF3015">
      <w:p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Extra-oral examination</w:t>
      </w:r>
    </w:p>
    <w:p w:rsidR="00CF3015" w:rsidRDefault="00CF3015">
      <w:pPr>
        <w:numPr>
          <w:ilvl w:val="0"/>
          <w:numId w:val="1"/>
        </w:numPr>
        <w:tabs>
          <w:tab w:val="clear" w:pos="360"/>
          <w:tab w:val="num" w:pos="2520"/>
        </w:tabs>
        <w:ind w:left="2520"/>
        <w:rPr>
          <w:sz w:val="24"/>
        </w:rPr>
      </w:pPr>
      <w:r>
        <w:rPr>
          <w:sz w:val="24"/>
        </w:rPr>
        <w:t>enlarged regional lymph nodes</w:t>
      </w:r>
    </w:p>
    <w:p w:rsidR="00CF3015" w:rsidRDefault="00CF3015">
      <w:pPr>
        <w:numPr>
          <w:ilvl w:val="0"/>
          <w:numId w:val="1"/>
        </w:numPr>
        <w:tabs>
          <w:tab w:val="clear" w:pos="360"/>
          <w:tab w:val="num" w:pos="2520"/>
        </w:tabs>
        <w:ind w:left="2520"/>
        <w:rPr>
          <w:sz w:val="24"/>
        </w:rPr>
      </w:pPr>
      <w:r>
        <w:rPr>
          <w:sz w:val="24"/>
        </w:rPr>
        <w:t>facial asymmetry</w:t>
      </w:r>
    </w:p>
    <w:p w:rsidR="00CF3015" w:rsidRDefault="00CF3015">
      <w:pPr>
        <w:numPr>
          <w:ilvl w:val="0"/>
          <w:numId w:val="1"/>
        </w:numPr>
        <w:tabs>
          <w:tab w:val="clear" w:pos="360"/>
          <w:tab w:val="num" w:pos="2520"/>
        </w:tabs>
        <w:ind w:left="2520"/>
        <w:rPr>
          <w:sz w:val="24"/>
        </w:rPr>
      </w:pPr>
      <w:r>
        <w:rPr>
          <w:sz w:val="24"/>
        </w:rPr>
        <w:t>parotid mass</w:t>
      </w:r>
    </w:p>
    <w:p w:rsidR="00CF3015" w:rsidRDefault="00CF3015">
      <w:pPr>
        <w:numPr>
          <w:ilvl w:val="0"/>
          <w:numId w:val="1"/>
        </w:numPr>
        <w:tabs>
          <w:tab w:val="clear" w:pos="360"/>
          <w:tab w:val="num" w:pos="2520"/>
        </w:tabs>
        <w:ind w:left="2520"/>
        <w:rPr>
          <w:sz w:val="24"/>
        </w:rPr>
      </w:pPr>
      <w:r>
        <w:rPr>
          <w:sz w:val="24"/>
        </w:rPr>
        <w:t>perioral skin discoloration</w:t>
      </w:r>
    </w:p>
    <w:p w:rsidR="00CF3015" w:rsidRDefault="00CF3015">
      <w:pPr>
        <w:numPr>
          <w:ilvl w:val="0"/>
          <w:numId w:val="1"/>
        </w:numPr>
        <w:tabs>
          <w:tab w:val="clear" w:pos="360"/>
          <w:tab w:val="num" w:pos="2520"/>
        </w:tabs>
        <w:ind w:left="2520"/>
        <w:rPr>
          <w:sz w:val="24"/>
        </w:rPr>
      </w:pPr>
      <w:r>
        <w:rPr>
          <w:sz w:val="24"/>
        </w:rPr>
        <w:t>other palpable masses</w:t>
      </w:r>
    </w:p>
    <w:p w:rsidR="00B07B93" w:rsidRDefault="00B07B93" w:rsidP="00820915">
      <w:pPr>
        <w:ind w:left="2520"/>
        <w:rPr>
          <w:sz w:val="24"/>
        </w:rPr>
      </w:pPr>
    </w:p>
    <w:p w:rsidR="00CF3015" w:rsidRDefault="00CF3015">
      <w:pPr>
        <w:ind w:left="1440" w:firstLine="720"/>
        <w:rPr>
          <w:sz w:val="24"/>
          <w:u w:val="single"/>
        </w:rPr>
      </w:pPr>
      <w:r>
        <w:rPr>
          <w:sz w:val="24"/>
          <w:u w:val="single"/>
        </w:rPr>
        <w:t>Perioral and Intraoral soft tissue examination</w:t>
      </w:r>
    </w:p>
    <w:p w:rsidR="00CF3015" w:rsidRDefault="00CF3015">
      <w:pPr>
        <w:numPr>
          <w:ilvl w:val="0"/>
          <w:numId w:val="2"/>
        </w:numPr>
        <w:tabs>
          <w:tab w:val="num" w:pos="2520"/>
        </w:tabs>
        <w:ind w:left="2520"/>
        <w:rPr>
          <w:sz w:val="24"/>
        </w:rPr>
      </w:pPr>
      <w:r>
        <w:rPr>
          <w:sz w:val="24"/>
        </w:rPr>
        <w:t>discoloration</w:t>
      </w:r>
    </w:p>
    <w:p w:rsidR="00CF3015" w:rsidRDefault="00CF3015">
      <w:pPr>
        <w:numPr>
          <w:ilvl w:val="0"/>
          <w:numId w:val="2"/>
        </w:numPr>
        <w:tabs>
          <w:tab w:val="num" w:pos="2520"/>
        </w:tabs>
        <w:ind w:left="2520"/>
        <w:rPr>
          <w:sz w:val="24"/>
        </w:rPr>
      </w:pPr>
      <w:r>
        <w:rPr>
          <w:sz w:val="24"/>
        </w:rPr>
        <w:t>surface abnormalities</w:t>
      </w:r>
    </w:p>
    <w:p w:rsidR="00CF3015" w:rsidRDefault="00CF3015">
      <w:pPr>
        <w:numPr>
          <w:ilvl w:val="0"/>
          <w:numId w:val="2"/>
        </w:numPr>
        <w:tabs>
          <w:tab w:val="num" w:pos="2520"/>
        </w:tabs>
        <w:ind w:left="2520"/>
        <w:rPr>
          <w:sz w:val="24"/>
        </w:rPr>
      </w:pPr>
      <w:r>
        <w:rPr>
          <w:sz w:val="24"/>
        </w:rPr>
        <w:t>induration</w:t>
      </w:r>
    </w:p>
    <w:p w:rsidR="00CF3015" w:rsidRDefault="00CF3015">
      <w:pPr>
        <w:numPr>
          <w:ilvl w:val="0"/>
          <w:numId w:val="2"/>
        </w:numPr>
        <w:tabs>
          <w:tab w:val="num" w:pos="2520"/>
        </w:tabs>
        <w:ind w:left="2520"/>
        <w:rPr>
          <w:sz w:val="24"/>
        </w:rPr>
      </w:pPr>
      <w:r>
        <w:rPr>
          <w:sz w:val="24"/>
        </w:rPr>
        <w:t>ulcerations</w:t>
      </w:r>
    </w:p>
    <w:p w:rsidR="00CF3015" w:rsidRDefault="00CF3015">
      <w:pPr>
        <w:numPr>
          <w:ilvl w:val="0"/>
          <w:numId w:val="2"/>
        </w:numPr>
        <w:tabs>
          <w:tab w:val="num" w:pos="2520"/>
        </w:tabs>
        <w:ind w:left="2520"/>
        <w:rPr>
          <w:sz w:val="24"/>
        </w:rPr>
      </w:pPr>
      <w:proofErr w:type="spellStart"/>
      <w:r>
        <w:rPr>
          <w:sz w:val="24"/>
        </w:rPr>
        <w:t>erythroplakia</w:t>
      </w:r>
      <w:proofErr w:type="spellEnd"/>
    </w:p>
    <w:p w:rsidR="00CF3015" w:rsidRDefault="00CF3015">
      <w:pPr>
        <w:numPr>
          <w:ilvl w:val="0"/>
          <w:numId w:val="2"/>
        </w:numPr>
        <w:tabs>
          <w:tab w:val="num" w:pos="2520"/>
        </w:tabs>
        <w:ind w:left="2520"/>
        <w:rPr>
          <w:sz w:val="24"/>
        </w:rPr>
      </w:pPr>
      <w:r>
        <w:rPr>
          <w:sz w:val="24"/>
        </w:rPr>
        <w:t>leukoplakia</w:t>
      </w:r>
    </w:p>
    <w:p w:rsidR="00CF3015" w:rsidRDefault="00CF3015">
      <w:pPr>
        <w:numPr>
          <w:ilvl w:val="0"/>
          <w:numId w:val="2"/>
        </w:numPr>
        <w:tabs>
          <w:tab w:val="num" w:pos="2520"/>
        </w:tabs>
        <w:ind w:left="2520"/>
        <w:rPr>
          <w:sz w:val="24"/>
        </w:rPr>
      </w:pPr>
      <w:r>
        <w:rPr>
          <w:sz w:val="24"/>
        </w:rPr>
        <w:t xml:space="preserve">proliferative </w:t>
      </w:r>
      <w:proofErr w:type="spellStart"/>
      <w:r>
        <w:rPr>
          <w:sz w:val="24"/>
        </w:rPr>
        <w:t>verrucous</w:t>
      </w:r>
      <w:proofErr w:type="spellEnd"/>
      <w:r>
        <w:rPr>
          <w:sz w:val="24"/>
        </w:rPr>
        <w:t xml:space="preserve"> leukoplakia</w:t>
      </w:r>
    </w:p>
    <w:p w:rsidR="00CF3015" w:rsidRDefault="00CF3015">
      <w:pPr>
        <w:numPr>
          <w:ilvl w:val="0"/>
          <w:numId w:val="2"/>
        </w:numPr>
        <w:tabs>
          <w:tab w:val="num" w:pos="2520"/>
        </w:tabs>
        <w:ind w:left="2520"/>
        <w:rPr>
          <w:sz w:val="24"/>
        </w:rPr>
      </w:pPr>
      <w:proofErr w:type="spellStart"/>
      <w:r>
        <w:rPr>
          <w:sz w:val="24"/>
        </w:rPr>
        <w:t>erythroleukoplakia</w:t>
      </w:r>
      <w:proofErr w:type="spellEnd"/>
    </w:p>
    <w:p w:rsidR="00CF3015" w:rsidRDefault="00CF3015">
      <w:pPr>
        <w:numPr>
          <w:ilvl w:val="0"/>
          <w:numId w:val="2"/>
        </w:numPr>
        <w:tabs>
          <w:tab w:val="num" w:pos="2520"/>
        </w:tabs>
        <w:ind w:left="2520"/>
        <w:rPr>
          <w:sz w:val="24"/>
        </w:rPr>
      </w:pPr>
      <w:r>
        <w:rPr>
          <w:sz w:val="24"/>
        </w:rPr>
        <w:t>vascular lesions</w:t>
      </w:r>
    </w:p>
    <w:p w:rsidR="00CF3015" w:rsidRDefault="00CF3015">
      <w:pPr>
        <w:numPr>
          <w:ilvl w:val="0"/>
          <w:numId w:val="2"/>
        </w:numPr>
        <w:tabs>
          <w:tab w:val="num" w:pos="2520"/>
        </w:tabs>
        <w:ind w:left="2520"/>
        <w:rPr>
          <w:sz w:val="24"/>
        </w:rPr>
      </w:pPr>
      <w:r>
        <w:rPr>
          <w:sz w:val="24"/>
        </w:rPr>
        <w:t xml:space="preserve">variation in size or texture of or asymmetry in the following areas: </w:t>
      </w:r>
    </w:p>
    <w:p w:rsidR="00CF3015" w:rsidRPr="00BB5483" w:rsidRDefault="00CF3015" w:rsidP="00A02603">
      <w:pPr>
        <w:numPr>
          <w:ilvl w:val="0"/>
          <w:numId w:val="49"/>
        </w:numPr>
        <w:rPr>
          <w:sz w:val="24"/>
        </w:rPr>
      </w:pPr>
      <w:r>
        <w:rPr>
          <w:sz w:val="24"/>
        </w:rPr>
        <w:t xml:space="preserve">lips, labial </w:t>
      </w:r>
      <w:r w:rsidRPr="00BB5483">
        <w:rPr>
          <w:sz w:val="24"/>
        </w:rPr>
        <w:t xml:space="preserve">mucosa, </w:t>
      </w:r>
      <w:proofErr w:type="spellStart"/>
      <w:r w:rsidRPr="00BB5483">
        <w:rPr>
          <w:sz w:val="24"/>
        </w:rPr>
        <w:t>buccal</w:t>
      </w:r>
      <w:proofErr w:type="spellEnd"/>
      <w:r w:rsidRPr="00BB5483">
        <w:rPr>
          <w:sz w:val="24"/>
        </w:rPr>
        <w:t xml:space="preserve"> mucosa, gingiva, tongue, floor of the mouth, tonsils, uvula, </w:t>
      </w:r>
      <w:r w:rsidRPr="00CE10F7">
        <w:rPr>
          <w:sz w:val="24"/>
        </w:rPr>
        <w:t>oropharynx</w:t>
      </w:r>
      <w:r w:rsidRPr="00BB5483">
        <w:rPr>
          <w:sz w:val="24"/>
        </w:rPr>
        <w:t>, hard and soft palate</w:t>
      </w:r>
    </w:p>
    <w:p w:rsidR="00CF3015" w:rsidRDefault="00CF3015">
      <w:pPr>
        <w:tabs>
          <w:tab w:val="num" w:pos="2520"/>
        </w:tabs>
        <w:ind w:left="2160"/>
        <w:rPr>
          <w:sz w:val="24"/>
        </w:rPr>
      </w:pPr>
    </w:p>
    <w:p w:rsidR="002C3A6D" w:rsidRDefault="00CF3015">
      <w:pPr>
        <w:tabs>
          <w:tab w:val="num" w:pos="2520"/>
        </w:tabs>
        <w:ind w:left="720"/>
        <w:rPr>
          <w:sz w:val="24"/>
        </w:rPr>
      </w:pPr>
      <w:r>
        <w:rPr>
          <w:sz w:val="24"/>
        </w:rPr>
        <w:t xml:space="preserve">C.  </w:t>
      </w:r>
      <w:r w:rsidR="00173E50">
        <w:rPr>
          <w:sz w:val="24"/>
        </w:rPr>
        <w:t>O</w:t>
      </w:r>
      <w:r w:rsidRPr="00F82E0A">
        <w:rPr>
          <w:sz w:val="24"/>
          <w:szCs w:val="24"/>
        </w:rPr>
        <w:t xml:space="preserve">ral cancer </w:t>
      </w:r>
      <w:r w:rsidR="00513825">
        <w:rPr>
          <w:sz w:val="24"/>
          <w:szCs w:val="24"/>
        </w:rPr>
        <w:t>screening exam</w:t>
      </w:r>
      <w:r w:rsidR="00BD0538">
        <w:rPr>
          <w:sz w:val="24"/>
          <w:szCs w:val="24"/>
        </w:rPr>
        <w:t>—</w:t>
      </w:r>
      <w:r w:rsidR="00332D7F">
        <w:rPr>
          <w:sz w:val="24"/>
          <w:szCs w:val="24"/>
        </w:rPr>
        <w:t>positive</w:t>
      </w:r>
      <w:r w:rsidR="00483C49">
        <w:rPr>
          <w:sz w:val="24"/>
          <w:szCs w:val="24"/>
        </w:rPr>
        <w:t xml:space="preserve"> </w:t>
      </w:r>
      <w:r w:rsidRPr="00F82E0A">
        <w:rPr>
          <w:sz w:val="24"/>
          <w:szCs w:val="24"/>
        </w:rPr>
        <w:t>for other</w:t>
      </w:r>
      <w:r>
        <w:rPr>
          <w:sz w:val="24"/>
        </w:rPr>
        <w:t xml:space="preserve"> findings</w:t>
      </w:r>
    </w:p>
    <w:p w:rsidR="00CF3015" w:rsidRDefault="002C3A6D" w:rsidP="00CE10F7">
      <w:pPr>
        <w:tabs>
          <w:tab w:val="num" w:pos="2520"/>
        </w:tabs>
        <w:ind w:left="1440"/>
        <w:rPr>
          <w:sz w:val="24"/>
        </w:rPr>
      </w:pPr>
      <w:r>
        <w:rPr>
          <w:sz w:val="24"/>
        </w:rPr>
        <w:t>M</w:t>
      </w:r>
      <w:r w:rsidR="00CF3015">
        <w:rPr>
          <w:sz w:val="24"/>
        </w:rPr>
        <w:t>ay include:</w:t>
      </w:r>
    </w:p>
    <w:p w:rsidR="00CF3015" w:rsidRDefault="00CF3015" w:rsidP="00402405">
      <w:pPr>
        <w:numPr>
          <w:ilvl w:val="0"/>
          <w:numId w:val="3"/>
        </w:numPr>
        <w:tabs>
          <w:tab w:val="clear" w:pos="360"/>
          <w:tab w:val="num" w:pos="2520"/>
        </w:tabs>
        <w:ind w:left="2520"/>
        <w:rPr>
          <w:sz w:val="24"/>
        </w:rPr>
      </w:pPr>
      <w:r>
        <w:rPr>
          <w:sz w:val="24"/>
        </w:rPr>
        <w:lastRenderedPageBreak/>
        <w:t xml:space="preserve">thyroid gland enlarged or nodular </w:t>
      </w:r>
    </w:p>
    <w:p w:rsidR="00CF3015" w:rsidRDefault="00CF3015" w:rsidP="00402405">
      <w:pPr>
        <w:numPr>
          <w:ilvl w:val="0"/>
          <w:numId w:val="3"/>
        </w:numPr>
        <w:tabs>
          <w:tab w:val="clear" w:pos="360"/>
          <w:tab w:val="num" w:pos="2520"/>
        </w:tabs>
        <w:ind w:left="2520"/>
        <w:rPr>
          <w:sz w:val="24"/>
        </w:rPr>
      </w:pPr>
      <w:r>
        <w:rPr>
          <w:sz w:val="24"/>
        </w:rPr>
        <w:t>gum disease</w:t>
      </w:r>
    </w:p>
    <w:p w:rsidR="00CF3015" w:rsidRDefault="00CF3015" w:rsidP="00402405">
      <w:pPr>
        <w:numPr>
          <w:ilvl w:val="0"/>
          <w:numId w:val="3"/>
        </w:numPr>
        <w:tabs>
          <w:tab w:val="clear" w:pos="360"/>
          <w:tab w:val="num" w:pos="2520"/>
        </w:tabs>
        <w:ind w:left="2520"/>
        <w:rPr>
          <w:sz w:val="24"/>
        </w:rPr>
      </w:pPr>
      <w:proofErr w:type="gramStart"/>
      <w:r>
        <w:rPr>
          <w:sz w:val="24"/>
        </w:rPr>
        <w:t>tooth</w:t>
      </w:r>
      <w:proofErr w:type="gramEnd"/>
      <w:r>
        <w:rPr>
          <w:sz w:val="24"/>
        </w:rPr>
        <w:t xml:space="preserve"> decay, abscess, etc.</w:t>
      </w:r>
    </w:p>
    <w:p w:rsidR="00CF3015" w:rsidRDefault="00CF3015">
      <w:pPr>
        <w:ind w:left="2160"/>
        <w:rPr>
          <w:sz w:val="24"/>
        </w:rPr>
      </w:pPr>
    </w:p>
    <w:p w:rsidR="00BB6415" w:rsidRDefault="00BB6415">
      <w:pPr>
        <w:ind w:left="2160"/>
        <w:rPr>
          <w:sz w:val="24"/>
        </w:rPr>
      </w:pPr>
    </w:p>
    <w:p w:rsidR="00CF3015" w:rsidRDefault="002B5849">
      <w:pPr>
        <w:pStyle w:val="Heading1"/>
        <w:numPr>
          <w:ilvl w:val="0"/>
          <w:numId w:val="0"/>
        </w:numPr>
        <w:rPr>
          <w:b/>
          <w:i w:val="0"/>
        </w:rPr>
      </w:pPr>
      <w:r>
        <w:rPr>
          <w:b/>
          <w:i w:val="0"/>
        </w:rPr>
        <w:t>V</w:t>
      </w:r>
      <w:r w:rsidR="00CF3015">
        <w:rPr>
          <w:b/>
          <w:i w:val="0"/>
        </w:rPr>
        <w:t>.  Actions and Follow-Up</w:t>
      </w:r>
      <w:r w:rsidR="003F6DDF">
        <w:rPr>
          <w:b/>
          <w:i w:val="0"/>
        </w:rPr>
        <w:t xml:space="preserve"> by Result Category</w:t>
      </w:r>
    </w:p>
    <w:p w:rsidR="00CF3015" w:rsidRDefault="00CF3015">
      <w:pPr>
        <w:tabs>
          <w:tab w:val="num" w:pos="2520"/>
        </w:tabs>
        <w:rPr>
          <w:b/>
          <w:sz w:val="24"/>
        </w:rPr>
      </w:pPr>
    </w:p>
    <w:p w:rsidR="00CF3015" w:rsidRPr="00CE10F7" w:rsidRDefault="00CF3015">
      <w:pPr>
        <w:ind w:firstLine="720"/>
        <w:rPr>
          <w:sz w:val="24"/>
        </w:rPr>
      </w:pPr>
      <w:r w:rsidRPr="00CE10F7">
        <w:rPr>
          <w:sz w:val="24"/>
        </w:rPr>
        <w:t xml:space="preserve">A.  Actions and follow-up of </w:t>
      </w:r>
      <w:r w:rsidR="003F6DDF">
        <w:rPr>
          <w:sz w:val="24"/>
        </w:rPr>
        <w:t>n</w:t>
      </w:r>
      <w:r w:rsidRPr="00CE10F7">
        <w:rPr>
          <w:sz w:val="24"/>
        </w:rPr>
        <w:t xml:space="preserve">egative oral cancer </w:t>
      </w:r>
      <w:r w:rsidR="00BB6415" w:rsidRPr="00CE10F7">
        <w:rPr>
          <w:sz w:val="24"/>
        </w:rPr>
        <w:t xml:space="preserve">screening </w:t>
      </w:r>
      <w:r w:rsidRPr="00CE10F7">
        <w:rPr>
          <w:sz w:val="24"/>
        </w:rPr>
        <w:t>examination</w:t>
      </w:r>
    </w:p>
    <w:p w:rsidR="00CF3015" w:rsidRDefault="00CF3015" w:rsidP="00BF458E">
      <w:pPr>
        <w:numPr>
          <w:ilvl w:val="0"/>
          <w:numId w:val="16"/>
        </w:numPr>
        <w:ind w:left="1800"/>
        <w:rPr>
          <w:sz w:val="24"/>
        </w:rPr>
      </w:pPr>
      <w:r>
        <w:rPr>
          <w:sz w:val="24"/>
        </w:rPr>
        <w:t xml:space="preserve">Recommend annual oral cancer </w:t>
      </w:r>
      <w:r w:rsidR="00483C49">
        <w:rPr>
          <w:sz w:val="24"/>
        </w:rPr>
        <w:t xml:space="preserve">screening </w:t>
      </w:r>
      <w:r w:rsidR="00332D7F">
        <w:rPr>
          <w:sz w:val="24"/>
        </w:rPr>
        <w:t xml:space="preserve">exam </w:t>
      </w:r>
      <w:r>
        <w:rPr>
          <w:sz w:val="24"/>
        </w:rPr>
        <w:t>as part of routine dental care, physical examination, and/or medical care</w:t>
      </w:r>
    </w:p>
    <w:p w:rsidR="00CF3015" w:rsidRPr="00F96A2F" w:rsidRDefault="00CF3015" w:rsidP="00A02603">
      <w:pPr>
        <w:tabs>
          <w:tab w:val="num" w:pos="2520"/>
          <w:tab w:val="left" w:pos="2880"/>
        </w:tabs>
        <w:rPr>
          <w:b/>
          <w:sz w:val="24"/>
          <w:szCs w:val="24"/>
        </w:rPr>
      </w:pPr>
    </w:p>
    <w:p w:rsidR="004458EC" w:rsidRPr="00F96A2F" w:rsidRDefault="004458EC" w:rsidP="00A02603">
      <w:pPr>
        <w:ind w:left="1080" w:hanging="360"/>
        <w:rPr>
          <w:sz w:val="24"/>
          <w:szCs w:val="24"/>
        </w:rPr>
      </w:pPr>
      <w:r w:rsidRPr="00F96A2F">
        <w:rPr>
          <w:sz w:val="24"/>
          <w:szCs w:val="24"/>
        </w:rPr>
        <w:t>B.  Actions and follow-up of oral cancer screening examination</w:t>
      </w:r>
      <w:r w:rsidRPr="00A02603">
        <w:rPr>
          <w:sz w:val="24"/>
          <w:szCs w:val="24"/>
        </w:rPr>
        <w:t xml:space="preserve">—positive for finding </w:t>
      </w:r>
      <w:r>
        <w:rPr>
          <w:sz w:val="24"/>
          <w:szCs w:val="24"/>
        </w:rPr>
        <w:t xml:space="preserve">      </w:t>
      </w:r>
      <w:r w:rsidRPr="00A02603">
        <w:rPr>
          <w:sz w:val="24"/>
          <w:szCs w:val="24"/>
        </w:rPr>
        <w:t>suggestive of oral cancer</w:t>
      </w:r>
    </w:p>
    <w:p w:rsidR="00CF3015" w:rsidRPr="00BB5483" w:rsidRDefault="004458EC" w:rsidP="002E0122">
      <w:pPr>
        <w:pStyle w:val="Heading2"/>
        <w:numPr>
          <w:ilvl w:val="0"/>
          <w:numId w:val="0"/>
        </w:numPr>
        <w:tabs>
          <w:tab w:val="left" w:pos="2880"/>
        </w:tabs>
      </w:pPr>
      <w:r>
        <w:rPr>
          <w:b w:val="0"/>
          <w:u w:val="none"/>
        </w:rPr>
        <w:t xml:space="preserve">  </w:t>
      </w:r>
    </w:p>
    <w:p w:rsidR="00CF3015" w:rsidRDefault="00CF3015" w:rsidP="00BF458E">
      <w:pPr>
        <w:pStyle w:val="BodyTextIndent2"/>
        <w:numPr>
          <w:ilvl w:val="0"/>
          <w:numId w:val="17"/>
        </w:numPr>
      </w:pPr>
      <w:r>
        <w:t xml:space="preserve">For mucosal lesions that appear </w:t>
      </w:r>
      <w:r w:rsidRPr="00CE10F7">
        <w:rPr>
          <w:b/>
        </w:rPr>
        <w:t>cancerous or are</w:t>
      </w:r>
      <w:r>
        <w:t xml:space="preserve"> </w:t>
      </w:r>
      <w:r w:rsidRPr="00CE10F7">
        <w:rPr>
          <w:b/>
        </w:rPr>
        <w:t>large and suspicious for cancer</w:t>
      </w:r>
      <w:r>
        <w:t>; non-mucosal lesions; lymph node enlargement; or skin abnormalities:</w:t>
      </w:r>
    </w:p>
    <w:p w:rsidR="00CF3015" w:rsidRDefault="00CF3015">
      <w:pPr>
        <w:pStyle w:val="BodyTextIndent2"/>
        <w:tabs>
          <w:tab w:val="clear" w:pos="2520"/>
        </w:tabs>
        <w:ind w:firstLine="0"/>
      </w:pPr>
    </w:p>
    <w:p w:rsidR="00CF3015" w:rsidRDefault="00CF3015" w:rsidP="00BF458E">
      <w:pPr>
        <w:pStyle w:val="BodyTextIndent2"/>
        <w:numPr>
          <w:ilvl w:val="0"/>
          <w:numId w:val="18"/>
        </w:numPr>
      </w:pPr>
      <w:r>
        <w:t>Refer for biopsy</w:t>
      </w:r>
      <w:r w:rsidR="00BD0538">
        <w:t xml:space="preserve"> </w:t>
      </w:r>
      <w:r>
        <w:t xml:space="preserve">to grade and stage the lesion or to rule out cancer; </w:t>
      </w:r>
    </w:p>
    <w:p w:rsidR="00BD0538" w:rsidRPr="00F1350B" w:rsidRDefault="00BD0538" w:rsidP="00BF458E">
      <w:pPr>
        <w:pStyle w:val="BodyTextIndent2"/>
        <w:numPr>
          <w:ilvl w:val="0"/>
          <w:numId w:val="18"/>
        </w:numPr>
        <w:rPr>
          <w:b/>
        </w:rPr>
      </w:pPr>
      <w:r>
        <w:rPr>
          <w:b/>
        </w:rPr>
        <w:t>C</w:t>
      </w:r>
      <w:r w:rsidRPr="00F1350B">
        <w:rPr>
          <w:b/>
        </w:rPr>
        <w:t xml:space="preserve">aution:  </w:t>
      </w:r>
      <w:r w:rsidRPr="00BD0538">
        <w:rPr>
          <w:b/>
        </w:rPr>
        <w:t>excisional biopsy should only be for small lesions 2-4mm. Do NOT excis</w:t>
      </w:r>
      <w:r>
        <w:rPr>
          <w:b/>
        </w:rPr>
        <w:t xml:space="preserve">e large </w:t>
      </w:r>
      <w:r w:rsidRPr="00BD0538">
        <w:rPr>
          <w:b/>
        </w:rPr>
        <w:t xml:space="preserve">lesions </w:t>
      </w:r>
      <w:r w:rsidR="00BE02F0" w:rsidRPr="00820915">
        <w:rPr>
          <w:b/>
        </w:rPr>
        <w:t>(&gt; 4 mm)</w:t>
      </w:r>
      <w:r w:rsidR="00BE02F0">
        <w:rPr>
          <w:b/>
        </w:rPr>
        <w:t xml:space="preserve"> </w:t>
      </w:r>
      <w:r>
        <w:rPr>
          <w:b/>
        </w:rPr>
        <w:t xml:space="preserve">because it </w:t>
      </w:r>
      <w:r w:rsidRPr="00BD0538">
        <w:rPr>
          <w:b/>
        </w:rPr>
        <w:t>makes subsequent surgery difficult</w:t>
      </w:r>
      <w:r w:rsidR="003763CB">
        <w:rPr>
          <w:b/>
        </w:rPr>
        <w:t>.</w:t>
      </w:r>
    </w:p>
    <w:p w:rsidR="00CF3015" w:rsidRDefault="00CF3015">
      <w:pPr>
        <w:pStyle w:val="BodyTextIndent2"/>
        <w:tabs>
          <w:tab w:val="clear" w:pos="2520"/>
        </w:tabs>
        <w:ind w:firstLine="360"/>
      </w:pPr>
    </w:p>
    <w:p w:rsidR="00CF3015" w:rsidRDefault="00CF3015" w:rsidP="00BF458E">
      <w:pPr>
        <w:pStyle w:val="BodyTextIndent2"/>
        <w:numPr>
          <w:ilvl w:val="0"/>
          <w:numId w:val="17"/>
        </w:numPr>
      </w:pPr>
      <w:r>
        <w:t xml:space="preserve">For mucosal lesions that are </w:t>
      </w:r>
      <w:r w:rsidRPr="00CE10F7">
        <w:rPr>
          <w:b/>
        </w:rPr>
        <w:t>small (&lt;2cm); or for innocuous lesions</w:t>
      </w:r>
      <w:r>
        <w:t xml:space="preserve"> that are of questionable significance:</w:t>
      </w:r>
    </w:p>
    <w:p w:rsidR="00CF3015" w:rsidRDefault="00CF3015" w:rsidP="00B810CC">
      <w:pPr>
        <w:pStyle w:val="BodyTextIndent2"/>
        <w:tabs>
          <w:tab w:val="clear" w:pos="2520"/>
        </w:tabs>
        <w:ind w:left="0" w:firstLine="0"/>
      </w:pPr>
    </w:p>
    <w:p w:rsidR="00CF3015" w:rsidRDefault="00CF3015" w:rsidP="00BF458E">
      <w:pPr>
        <w:pStyle w:val="BodyTextIndent2"/>
        <w:numPr>
          <w:ilvl w:val="0"/>
          <w:numId w:val="19"/>
        </w:numPr>
        <w:ind w:left="2160"/>
      </w:pPr>
      <w:r>
        <w:t>Ask if the patient has noticed the lesion and ask how long it has been present</w:t>
      </w:r>
    </w:p>
    <w:p w:rsidR="00CF3015" w:rsidRDefault="00CF3015" w:rsidP="00BF458E">
      <w:pPr>
        <w:pStyle w:val="BodyTextIndent2"/>
        <w:numPr>
          <w:ilvl w:val="0"/>
          <w:numId w:val="19"/>
        </w:numPr>
        <w:ind w:left="2160"/>
      </w:pPr>
      <w:r>
        <w:t>Advise to stop smoking, drinking, exposure to sun, etc., that is, remove risk factors)</w:t>
      </w:r>
    </w:p>
    <w:p w:rsidR="00CF3015" w:rsidRDefault="00CF3015">
      <w:pPr>
        <w:pStyle w:val="BodyTextIndent2"/>
        <w:tabs>
          <w:tab w:val="clear" w:pos="2520"/>
        </w:tabs>
        <w:ind w:firstLine="0"/>
      </w:pPr>
    </w:p>
    <w:p w:rsidR="00CF3015" w:rsidRDefault="00CF3015" w:rsidP="00DF0748">
      <w:pPr>
        <w:pStyle w:val="BodyTextIndent2"/>
        <w:tabs>
          <w:tab w:val="clear" w:pos="2520"/>
        </w:tabs>
        <w:ind w:left="1800" w:firstLine="0"/>
      </w:pPr>
      <w:r>
        <w:t>Minimum follow-up:</w:t>
      </w:r>
    </w:p>
    <w:p w:rsidR="00CF3015" w:rsidRDefault="00CF3015" w:rsidP="00BF458E">
      <w:pPr>
        <w:pStyle w:val="BodyTextIndent2"/>
        <w:numPr>
          <w:ilvl w:val="0"/>
          <w:numId w:val="20"/>
        </w:numPr>
      </w:pPr>
      <w:r>
        <w:t>Re-examine in 2-4 weeks</w:t>
      </w:r>
    </w:p>
    <w:p w:rsidR="00CF3015" w:rsidRDefault="00CF3015" w:rsidP="00BF458E">
      <w:pPr>
        <w:pStyle w:val="BodyTextIndent2"/>
        <w:numPr>
          <w:ilvl w:val="0"/>
          <w:numId w:val="27"/>
        </w:numPr>
      </w:pPr>
      <w:r>
        <w:t>Lesion resolves:  No treatment; routine oral cancer exam every year</w:t>
      </w:r>
    </w:p>
    <w:p w:rsidR="00CF3015" w:rsidRDefault="00CF3015" w:rsidP="00BF458E">
      <w:pPr>
        <w:pStyle w:val="BodyTextIndent2"/>
        <w:numPr>
          <w:ilvl w:val="0"/>
          <w:numId w:val="27"/>
        </w:numPr>
      </w:pPr>
      <w:r>
        <w:t xml:space="preserve">Lesion persists:  </w:t>
      </w:r>
    </w:p>
    <w:p w:rsidR="00CF3015" w:rsidRDefault="00CF3015" w:rsidP="00BF458E">
      <w:pPr>
        <w:pStyle w:val="BodyTextIndent2"/>
        <w:numPr>
          <w:ilvl w:val="0"/>
          <w:numId w:val="28"/>
        </w:numPr>
      </w:pPr>
      <w:r>
        <w:t>Refer for biopsy (</w:t>
      </w:r>
      <w:r w:rsidR="00793AB3">
        <w:t>see below</w:t>
      </w:r>
      <w:r>
        <w:t>);</w:t>
      </w:r>
    </w:p>
    <w:p w:rsidR="00CF3015" w:rsidRDefault="00CF3015">
      <w:pPr>
        <w:pStyle w:val="BodyTextIndent2"/>
        <w:tabs>
          <w:tab w:val="clear" w:pos="2520"/>
        </w:tabs>
      </w:pPr>
    </w:p>
    <w:p w:rsidR="00CF3015" w:rsidRDefault="00CF3015" w:rsidP="00A51D04">
      <w:pPr>
        <w:pStyle w:val="BodyTextIndent2"/>
        <w:tabs>
          <w:tab w:val="clear" w:pos="2520"/>
        </w:tabs>
        <w:ind w:left="1800" w:firstLine="0"/>
      </w:pPr>
      <w:r>
        <w:t>Optional follow-up strategy:</w:t>
      </w:r>
    </w:p>
    <w:p w:rsidR="00CF3015" w:rsidRDefault="00CF3015" w:rsidP="00BF458E">
      <w:pPr>
        <w:pStyle w:val="BodyTextIndent2"/>
        <w:numPr>
          <w:ilvl w:val="0"/>
          <w:numId w:val="21"/>
        </w:numPr>
        <w:ind w:left="2520"/>
      </w:pPr>
      <w:r>
        <w:t xml:space="preserve">Refer for biopsy </w:t>
      </w:r>
      <w:r w:rsidR="00793AB3">
        <w:t>to grade and stage the lesion or to rule out cancer;</w:t>
      </w:r>
    </w:p>
    <w:p w:rsidR="00BD0538" w:rsidRDefault="00BD0538" w:rsidP="00BF458E">
      <w:pPr>
        <w:pStyle w:val="BodyTextIndent2"/>
        <w:numPr>
          <w:ilvl w:val="0"/>
          <w:numId w:val="21"/>
        </w:numPr>
        <w:ind w:left="2520"/>
        <w:rPr>
          <w:b/>
        </w:rPr>
      </w:pPr>
      <w:r w:rsidRPr="00CE10F7">
        <w:rPr>
          <w:b/>
        </w:rPr>
        <w:t xml:space="preserve">Caution:  </w:t>
      </w:r>
      <w:r w:rsidRPr="00BD0538">
        <w:rPr>
          <w:b/>
        </w:rPr>
        <w:t>excisional biopsy should only be for small lesions 2-4mm. Do NOT excis</w:t>
      </w:r>
      <w:r w:rsidR="00793AB3">
        <w:rPr>
          <w:b/>
        </w:rPr>
        <w:t>e larger l</w:t>
      </w:r>
      <w:r w:rsidRPr="00BD0538">
        <w:rPr>
          <w:b/>
        </w:rPr>
        <w:t xml:space="preserve">esions </w:t>
      </w:r>
      <w:r w:rsidR="00556091" w:rsidRPr="00820915">
        <w:rPr>
          <w:b/>
        </w:rPr>
        <w:t>(&gt; 4mm)</w:t>
      </w:r>
      <w:r w:rsidR="00556091">
        <w:rPr>
          <w:b/>
        </w:rPr>
        <w:t xml:space="preserve"> </w:t>
      </w:r>
      <w:r w:rsidR="00793AB3">
        <w:rPr>
          <w:b/>
        </w:rPr>
        <w:t xml:space="preserve">because it </w:t>
      </w:r>
      <w:r w:rsidRPr="00BD0538">
        <w:rPr>
          <w:b/>
        </w:rPr>
        <w:t>makes subsequent surgery difficult</w:t>
      </w:r>
      <w:r w:rsidR="003763CB">
        <w:rPr>
          <w:b/>
        </w:rPr>
        <w:t>.</w:t>
      </w:r>
    </w:p>
    <w:p w:rsidR="00BB6415" w:rsidRPr="00CE10F7" w:rsidRDefault="00BB6415" w:rsidP="00CE10F7">
      <w:pPr>
        <w:pStyle w:val="BodyTextIndent2"/>
        <w:tabs>
          <w:tab w:val="clear" w:pos="2520"/>
        </w:tabs>
        <w:ind w:left="2160" w:firstLine="0"/>
        <w:rPr>
          <w:b/>
        </w:rPr>
      </w:pPr>
    </w:p>
    <w:p w:rsidR="00BB6415" w:rsidRDefault="00BB6415" w:rsidP="00BB6415">
      <w:pPr>
        <w:ind w:firstLine="720"/>
        <w:rPr>
          <w:sz w:val="24"/>
        </w:rPr>
      </w:pPr>
      <w:r w:rsidRPr="00CE10F7">
        <w:rPr>
          <w:sz w:val="24"/>
        </w:rPr>
        <w:t xml:space="preserve">C.  Actions and follow-up of </w:t>
      </w:r>
      <w:r w:rsidR="007E75D0">
        <w:rPr>
          <w:sz w:val="24"/>
        </w:rPr>
        <w:t>o</w:t>
      </w:r>
      <w:r w:rsidRPr="00CE10F7">
        <w:rPr>
          <w:sz w:val="24"/>
          <w:szCs w:val="24"/>
        </w:rPr>
        <w:t>ral cancer screening exam—positive for other</w:t>
      </w:r>
      <w:r w:rsidRPr="00CE10F7">
        <w:rPr>
          <w:sz w:val="24"/>
        </w:rPr>
        <w:t xml:space="preserve"> findings</w:t>
      </w:r>
    </w:p>
    <w:p w:rsidR="007E75D0" w:rsidRPr="00CE10F7" w:rsidRDefault="007E75D0" w:rsidP="00BB6415">
      <w:pPr>
        <w:ind w:firstLine="720"/>
        <w:rPr>
          <w:sz w:val="24"/>
        </w:rPr>
      </w:pPr>
    </w:p>
    <w:p w:rsidR="00BB6415" w:rsidRDefault="00BB6415" w:rsidP="00BF458E">
      <w:pPr>
        <w:numPr>
          <w:ilvl w:val="0"/>
          <w:numId w:val="22"/>
        </w:numPr>
        <w:rPr>
          <w:sz w:val="24"/>
        </w:rPr>
      </w:pPr>
      <w:r>
        <w:rPr>
          <w:sz w:val="24"/>
        </w:rPr>
        <w:t>Recommend follow-up by appropriate dental or medical/health care provider, depending on the findings; Recommend annual oral cancer screening exam as part of routine dental and/or medical care</w:t>
      </w:r>
    </w:p>
    <w:p w:rsidR="00BB6415" w:rsidRDefault="00BB6415" w:rsidP="00DF0748">
      <w:pPr>
        <w:pStyle w:val="Heading2"/>
        <w:numPr>
          <w:ilvl w:val="0"/>
          <w:numId w:val="0"/>
        </w:numPr>
        <w:ind w:left="720"/>
        <w:rPr>
          <w:b w:val="0"/>
          <w:szCs w:val="24"/>
          <w:u w:val="none"/>
        </w:rPr>
      </w:pPr>
    </w:p>
    <w:p w:rsidR="00CF3015" w:rsidRDefault="00CF3015" w:rsidP="00DF0748">
      <w:pPr>
        <w:pStyle w:val="Heading2"/>
        <w:numPr>
          <w:ilvl w:val="0"/>
          <w:numId w:val="0"/>
        </w:numPr>
        <w:ind w:left="720"/>
        <w:rPr>
          <w:b w:val="0"/>
          <w:u w:val="none"/>
        </w:rPr>
      </w:pPr>
      <w:r w:rsidRPr="00820915">
        <w:rPr>
          <w:b w:val="0"/>
          <w:szCs w:val="24"/>
          <w:u w:val="none"/>
        </w:rPr>
        <w:t>D.</w:t>
      </w:r>
      <w:r w:rsidRPr="00820915">
        <w:rPr>
          <w:b w:val="0"/>
          <w:u w:val="none"/>
        </w:rPr>
        <w:t xml:space="preserve">  Use of "assist devices"</w:t>
      </w:r>
      <w:r w:rsidRPr="00DF0748">
        <w:rPr>
          <w:b w:val="0"/>
          <w:u w:val="none"/>
        </w:rPr>
        <w:t xml:space="preserve"> such as the </w:t>
      </w:r>
      <w:proofErr w:type="spellStart"/>
      <w:r w:rsidRPr="00DF0748">
        <w:rPr>
          <w:b w:val="0"/>
          <w:u w:val="none"/>
        </w:rPr>
        <w:t>ViziLite-TBlue</w:t>
      </w:r>
      <w:proofErr w:type="spellEnd"/>
      <w:r w:rsidRPr="00DF0748">
        <w:rPr>
          <w:b w:val="0"/>
          <w:u w:val="none"/>
        </w:rPr>
        <w:t xml:space="preserve">, </w:t>
      </w:r>
      <w:proofErr w:type="spellStart"/>
      <w:r w:rsidRPr="00DF0748">
        <w:rPr>
          <w:b w:val="0"/>
          <w:u w:val="none"/>
        </w:rPr>
        <w:t>VelScope</w:t>
      </w:r>
      <w:proofErr w:type="spellEnd"/>
      <w:r w:rsidRPr="00DF0748">
        <w:rPr>
          <w:b w:val="0"/>
          <w:u w:val="none"/>
        </w:rPr>
        <w:t xml:space="preserve">, </w:t>
      </w:r>
      <w:proofErr w:type="spellStart"/>
      <w:r w:rsidRPr="00DF0748">
        <w:rPr>
          <w:b w:val="0"/>
          <w:u w:val="none"/>
        </w:rPr>
        <w:t>OraRisk</w:t>
      </w:r>
      <w:proofErr w:type="spellEnd"/>
      <w:r w:rsidRPr="00DF0748">
        <w:rPr>
          <w:b w:val="0"/>
          <w:u w:val="none"/>
        </w:rPr>
        <w:t xml:space="preserve"> HPV Test, etc. in screening of average risk persons, screening of people with increased risk, or for further evaluation of lesions that are </w:t>
      </w:r>
      <w:r>
        <w:rPr>
          <w:b w:val="0"/>
          <w:u w:val="none"/>
        </w:rPr>
        <w:t>of uncertain significance</w:t>
      </w:r>
      <w:r w:rsidRPr="00DF0748">
        <w:rPr>
          <w:b w:val="0"/>
          <w:u w:val="none"/>
        </w:rPr>
        <w:t xml:space="preserve"> on the exam</w:t>
      </w:r>
    </w:p>
    <w:p w:rsidR="00CF3015" w:rsidRDefault="00CF3015" w:rsidP="005E4088"/>
    <w:p w:rsidR="00CF3015" w:rsidRDefault="00CF3015" w:rsidP="00BF458E">
      <w:pPr>
        <w:numPr>
          <w:ilvl w:val="0"/>
          <w:numId w:val="23"/>
        </w:numPr>
        <w:rPr>
          <w:sz w:val="24"/>
          <w:szCs w:val="24"/>
        </w:rPr>
      </w:pPr>
      <w:r w:rsidRPr="007B3B86">
        <w:rPr>
          <w:sz w:val="24"/>
          <w:szCs w:val="24"/>
        </w:rPr>
        <w:t xml:space="preserve">There is insufficient evidence that use of commercial devices for lesion detection that are based on </w:t>
      </w:r>
      <w:proofErr w:type="spellStart"/>
      <w:r w:rsidRPr="007B3B86">
        <w:rPr>
          <w:sz w:val="24"/>
          <w:szCs w:val="24"/>
        </w:rPr>
        <w:t>autofluorescence</w:t>
      </w:r>
      <w:proofErr w:type="spellEnd"/>
      <w:r w:rsidRPr="007B3B86">
        <w:rPr>
          <w:sz w:val="24"/>
          <w:szCs w:val="24"/>
        </w:rPr>
        <w:t xml:space="preserve"> or tissue reflectance enhances visual detection of potentially malignant lesions beyond a conventional visual and tactile examination.</w:t>
      </w:r>
      <w:r w:rsidR="00A21023">
        <w:rPr>
          <w:sz w:val="24"/>
          <w:szCs w:val="24"/>
          <w:vertAlign w:val="superscript"/>
        </w:rPr>
        <w:t>1</w:t>
      </w:r>
      <w:r w:rsidR="0093492B">
        <w:rPr>
          <w:sz w:val="24"/>
          <w:szCs w:val="24"/>
          <w:vertAlign w:val="superscript"/>
        </w:rPr>
        <w:t>3</w:t>
      </w:r>
    </w:p>
    <w:p w:rsidR="00CF3015" w:rsidRPr="00DF0748" w:rsidRDefault="00CF3015" w:rsidP="00BF458E">
      <w:pPr>
        <w:numPr>
          <w:ilvl w:val="0"/>
          <w:numId w:val="23"/>
        </w:numPr>
        <w:rPr>
          <w:sz w:val="24"/>
          <w:szCs w:val="24"/>
        </w:rPr>
      </w:pPr>
      <w:r w:rsidRPr="00DF0748">
        <w:rPr>
          <w:sz w:val="24"/>
          <w:szCs w:val="24"/>
        </w:rPr>
        <w:t xml:space="preserve">If a program wishes to use an assist device in the program’s oral cancer screening, it should be within a study protocol approved by an </w:t>
      </w:r>
      <w:r>
        <w:rPr>
          <w:sz w:val="24"/>
          <w:szCs w:val="24"/>
        </w:rPr>
        <w:t>IRB</w:t>
      </w:r>
      <w:r w:rsidRPr="00DF0748">
        <w:rPr>
          <w:sz w:val="24"/>
          <w:szCs w:val="24"/>
        </w:rPr>
        <w:t>.  Data from such a study would be a valuable addition to the current literature.</w:t>
      </w:r>
      <w:r>
        <w:rPr>
          <w:sz w:val="24"/>
          <w:szCs w:val="24"/>
        </w:rPr>
        <w:t xml:space="preserve"> </w:t>
      </w:r>
      <w:r w:rsidRPr="00DF0748">
        <w:rPr>
          <w:bCs/>
          <w:sz w:val="24"/>
          <w:szCs w:val="24"/>
        </w:rPr>
        <w:t>(</w:t>
      </w:r>
      <w:r w:rsidR="001B060A">
        <w:rPr>
          <w:bCs/>
          <w:sz w:val="24"/>
          <w:szCs w:val="24"/>
        </w:rPr>
        <w:t xml:space="preserve">Professional opinion of the Oral Cancer </w:t>
      </w:r>
      <w:r w:rsidRPr="00DF0748">
        <w:rPr>
          <w:bCs/>
          <w:sz w:val="24"/>
          <w:szCs w:val="24"/>
        </w:rPr>
        <w:t>Medical Advisory Committee 2013)</w:t>
      </w:r>
      <w:r w:rsidRPr="001106C5">
        <w:rPr>
          <w:sz w:val="24"/>
          <w:szCs w:val="24"/>
        </w:rPr>
        <w:t xml:space="preserve"> </w:t>
      </w:r>
    </w:p>
    <w:p w:rsidR="00CF3015" w:rsidRPr="005E4088" w:rsidRDefault="00CF3015" w:rsidP="00DF0748">
      <w:pPr>
        <w:ind w:left="720"/>
        <w:rPr>
          <w:sz w:val="24"/>
          <w:szCs w:val="24"/>
        </w:rPr>
      </w:pPr>
    </w:p>
    <w:p w:rsidR="00CF3015" w:rsidRPr="00820915" w:rsidRDefault="00CF3015">
      <w:pPr>
        <w:pStyle w:val="BodyTextIndent2"/>
        <w:tabs>
          <w:tab w:val="left" w:pos="720"/>
          <w:tab w:val="left" w:pos="2520"/>
        </w:tabs>
        <w:ind w:left="1080" w:hanging="333"/>
      </w:pPr>
      <w:r w:rsidRPr="00820915">
        <w:t xml:space="preserve">E.  Use of </w:t>
      </w:r>
      <w:proofErr w:type="spellStart"/>
      <w:r w:rsidRPr="00820915">
        <w:t>Transepithelial</w:t>
      </w:r>
      <w:proofErr w:type="spellEnd"/>
      <w:r w:rsidRPr="00820915">
        <w:t xml:space="preserve"> Brush Biopsy</w:t>
      </w:r>
    </w:p>
    <w:p w:rsidR="00CF3015" w:rsidRDefault="00CF3015" w:rsidP="005D7D90">
      <w:pPr>
        <w:pStyle w:val="BodyTextIndent2"/>
        <w:tabs>
          <w:tab w:val="left" w:pos="720"/>
          <w:tab w:val="left" w:pos="2520"/>
        </w:tabs>
        <w:ind w:left="333" w:hanging="333"/>
        <w:rPr>
          <w:b/>
        </w:rPr>
      </w:pPr>
    </w:p>
    <w:p w:rsidR="00CF3015" w:rsidRPr="005D7D90" w:rsidRDefault="00CF3015" w:rsidP="00BF458E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5D7D90">
        <w:rPr>
          <w:sz w:val="24"/>
          <w:szCs w:val="24"/>
        </w:rPr>
        <w:t xml:space="preserve">Although </w:t>
      </w:r>
      <w:proofErr w:type="spellStart"/>
      <w:r w:rsidRPr="005D7D90">
        <w:rPr>
          <w:sz w:val="24"/>
          <w:szCs w:val="24"/>
        </w:rPr>
        <w:t>transepithelial</w:t>
      </w:r>
      <w:proofErr w:type="spellEnd"/>
      <w:r w:rsidRPr="005D7D90">
        <w:rPr>
          <w:sz w:val="24"/>
          <w:szCs w:val="24"/>
        </w:rPr>
        <w:t xml:space="preserve"> cytology has validity in identifying disaggregated dysplastic cells, the panel suggests surgical biopsy for definitive diagnosis (Classification: D, ADA).  Use of a </w:t>
      </w:r>
      <w:proofErr w:type="spellStart"/>
      <w:r w:rsidRPr="005D7D90">
        <w:rPr>
          <w:sz w:val="24"/>
          <w:szCs w:val="24"/>
        </w:rPr>
        <w:t>transepithelial</w:t>
      </w:r>
      <w:proofErr w:type="spellEnd"/>
      <w:r w:rsidRPr="005D7D90">
        <w:rPr>
          <w:sz w:val="24"/>
          <w:szCs w:val="24"/>
        </w:rPr>
        <w:t xml:space="preserve"> oral brush biopsy in an oral screening program should be reserved for situations where the use and results are studied in an IRB-approved protocol</w:t>
      </w:r>
      <w:r w:rsidRPr="00261DCC">
        <w:rPr>
          <w:sz w:val="24"/>
          <w:szCs w:val="24"/>
        </w:rPr>
        <w:t xml:space="preserve">.  </w:t>
      </w:r>
      <w:r w:rsidR="003763CB" w:rsidRPr="00261DCC">
        <w:rPr>
          <w:bCs/>
          <w:sz w:val="24"/>
          <w:szCs w:val="24"/>
        </w:rPr>
        <w:t>(</w:t>
      </w:r>
      <w:r w:rsidR="00261DCC" w:rsidRPr="00261DCC">
        <w:rPr>
          <w:bCs/>
          <w:sz w:val="24"/>
          <w:szCs w:val="24"/>
        </w:rPr>
        <w:t>Professional opinion of Oral Cancer Medical Advisory Committee 2013</w:t>
      </w:r>
      <w:r w:rsidRPr="005D7D90">
        <w:rPr>
          <w:sz w:val="24"/>
          <w:szCs w:val="24"/>
        </w:rPr>
        <w:t>)</w:t>
      </w:r>
    </w:p>
    <w:p w:rsidR="00CF3015" w:rsidRPr="00820915" w:rsidRDefault="00CF3015">
      <w:pPr>
        <w:pStyle w:val="BodyTextIndent2"/>
        <w:tabs>
          <w:tab w:val="left" w:pos="720"/>
          <w:tab w:val="left" w:pos="2520"/>
        </w:tabs>
        <w:ind w:left="1080" w:hanging="333"/>
      </w:pPr>
    </w:p>
    <w:p w:rsidR="00CF3015" w:rsidRPr="00820915" w:rsidRDefault="00CF3015">
      <w:pPr>
        <w:pStyle w:val="BodyTextIndent2"/>
        <w:tabs>
          <w:tab w:val="left" w:pos="720"/>
          <w:tab w:val="left" w:pos="2520"/>
        </w:tabs>
        <w:ind w:left="1080" w:hanging="333"/>
      </w:pPr>
      <w:r w:rsidRPr="00820915">
        <w:t>F.</w:t>
      </w:r>
      <w:r w:rsidRPr="00820915">
        <w:tab/>
        <w:t>Actions and follow-up of Incisional or Excisional Biopsy–results and their management</w:t>
      </w:r>
    </w:p>
    <w:p w:rsidR="00CF3015" w:rsidRDefault="00CF3015">
      <w:pPr>
        <w:pStyle w:val="BodyTextIndent2"/>
        <w:tabs>
          <w:tab w:val="left" w:pos="1440"/>
          <w:tab w:val="left" w:pos="2520"/>
        </w:tabs>
        <w:ind w:left="0" w:firstLine="0"/>
        <w:rPr>
          <w:b/>
        </w:rPr>
      </w:pPr>
    </w:p>
    <w:p w:rsidR="00CF3015" w:rsidRDefault="00CF3015" w:rsidP="00BF458E">
      <w:pPr>
        <w:pStyle w:val="BodyTextIndent2"/>
        <w:numPr>
          <w:ilvl w:val="0"/>
          <w:numId w:val="24"/>
        </w:numPr>
        <w:ind w:left="1440"/>
      </w:pPr>
      <w:r>
        <w:t xml:space="preserve">No </w:t>
      </w:r>
      <w:proofErr w:type="spellStart"/>
      <w:r>
        <w:t>atypia</w:t>
      </w:r>
      <w:proofErr w:type="spellEnd"/>
      <w:r>
        <w:t xml:space="preserve"> on biopsy:  no treatment; routine oral cancer examination every year or sooner if clinically indicated</w:t>
      </w:r>
    </w:p>
    <w:p w:rsidR="003763CB" w:rsidRDefault="003763CB" w:rsidP="00B810CC">
      <w:pPr>
        <w:pStyle w:val="BodyTextIndent2"/>
        <w:tabs>
          <w:tab w:val="clear" w:pos="2520"/>
        </w:tabs>
        <w:ind w:left="720" w:firstLine="0"/>
      </w:pPr>
    </w:p>
    <w:p w:rsidR="00CF3015" w:rsidRDefault="00CF3015" w:rsidP="00BF458E">
      <w:pPr>
        <w:pStyle w:val="BodyTextIndent2"/>
        <w:numPr>
          <w:ilvl w:val="0"/>
          <w:numId w:val="25"/>
        </w:numPr>
        <w:ind w:left="1440"/>
      </w:pPr>
      <w:proofErr w:type="spellStart"/>
      <w:r>
        <w:t>Atypia</w:t>
      </w:r>
      <w:proofErr w:type="spellEnd"/>
      <w:r>
        <w:t xml:space="preserve"> on biopsy:  Re-examine in 2-4 weeks</w:t>
      </w:r>
    </w:p>
    <w:p w:rsidR="00CF3015" w:rsidRDefault="00CF3015" w:rsidP="00BF458E">
      <w:pPr>
        <w:pStyle w:val="BodyTextIndent2"/>
        <w:numPr>
          <w:ilvl w:val="0"/>
          <w:numId w:val="26"/>
        </w:numPr>
        <w:tabs>
          <w:tab w:val="left" w:pos="3330"/>
        </w:tabs>
      </w:pPr>
      <w:r>
        <w:t xml:space="preserve">Lesion resolves:  No treatment; </w:t>
      </w:r>
      <w:r w:rsidR="007E75D0">
        <w:t>r</w:t>
      </w:r>
      <w:r>
        <w:t xml:space="preserve">ecommend routine oral cancer examination every year </w:t>
      </w:r>
    </w:p>
    <w:p w:rsidR="00BB6415" w:rsidRDefault="00CF3015" w:rsidP="00BF458E">
      <w:pPr>
        <w:pStyle w:val="BodyTextIndent2"/>
        <w:numPr>
          <w:ilvl w:val="0"/>
          <w:numId w:val="26"/>
        </w:numPr>
        <w:tabs>
          <w:tab w:val="left" w:pos="3330"/>
        </w:tabs>
      </w:pPr>
      <w:r>
        <w:t xml:space="preserve">Lesion persists after 2-4 weeks:  Re-biopsy (NOT brush biopsy) </w:t>
      </w:r>
      <w:r w:rsidR="00BB6415">
        <w:t>per Medical Case Manager</w:t>
      </w:r>
    </w:p>
    <w:p w:rsidR="00CF3015" w:rsidRDefault="00CF3015" w:rsidP="005D7D90">
      <w:pPr>
        <w:pStyle w:val="BodyTextIndent2"/>
        <w:tabs>
          <w:tab w:val="clear" w:pos="2520"/>
          <w:tab w:val="left" w:pos="3330"/>
        </w:tabs>
        <w:ind w:left="720" w:firstLine="60"/>
      </w:pPr>
    </w:p>
    <w:p w:rsidR="00CF3015" w:rsidRDefault="00BB6415" w:rsidP="00BF458E">
      <w:pPr>
        <w:pStyle w:val="BodyTextIndent2"/>
        <w:numPr>
          <w:ilvl w:val="0"/>
          <w:numId w:val="30"/>
        </w:numPr>
        <w:tabs>
          <w:tab w:val="left" w:pos="1440"/>
        </w:tabs>
        <w:ind w:firstLine="0"/>
      </w:pPr>
      <w:r>
        <w:t>C</w:t>
      </w:r>
      <w:r w:rsidR="00CF3015">
        <w:t>arcinoma</w:t>
      </w:r>
      <w:r>
        <w:t>,</w:t>
      </w:r>
      <w:r w:rsidR="00CF3015">
        <w:t xml:space="preserve"> carcinoma in situ</w:t>
      </w:r>
      <w:r>
        <w:t>, or other cancer on biopsy</w:t>
      </w:r>
    </w:p>
    <w:p w:rsidR="00CF3015" w:rsidRDefault="00CF3015" w:rsidP="00BF458E">
      <w:pPr>
        <w:pStyle w:val="BodyTextIndent2"/>
        <w:numPr>
          <w:ilvl w:val="0"/>
          <w:numId w:val="31"/>
        </w:numPr>
        <w:tabs>
          <w:tab w:val="left" w:pos="3330"/>
        </w:tabs>
      </w:pPr>
      <w:r>
        <w:t>Refer for further diagnostic evaluation and/or definitive treatment</w:t>
      </w:r>
      <w:r>
        <w:tab/>
      </w:r>
      <w:r>
        <w:tab/>
      </w:r>
    </w:p>
    <w:p w:rsidR="00CF3015" w:rsidRPr="00820915" w:rsidRDefault="00CF3015">
      <w:pPr>
        <w:pStyle w:val="BodyTextIndent2"/>
      </w:pPr>
    </w:p>
    <w:p w:rsidR="00CF3015" w:rsidRPr="00820915" w:rsidRDefault="00D94CB6" w:rsidP="00CE10F7">
      <w:pPr>
        <w:pStyle w:val="BodyTextIndent2"/>
        <w:tabs>
          <w:tab w:val="clear" w:pos="2520"/>
          <w:tab w:val="left" w:pos="2160"/>
        </w:tabs>
        <w:ind w:left="720" w:firstLine="0"/>
      </w:pPr>
      <w:r w:rsidRPr="00820915">
        <w:t xml:space="preserve">G.  </w:t>
      </w:r>
      <w:r w:rsidR="00CF3015" w:rsidRPr="00820915">
        <w:t xml:space="preserve">Actions and follow-up of </w:t>
      </w:r>
      <w:proofErr w:type="spellStart"/>
      <w:r w:rsidR="00CF3015" w:rsidRPr="00820915">
        <w:t>Transepithelial</w:t>
      </w:r>
      <w:proofErr w:type="spellEnd"/>
      <w:r w:rsidR="00CF3015" w:rsidRPr="00820915">
        <w:t xml:space="preserve"> Brush Biopsy results and their management</w:t>
      </w:r>
      <w:r w:rsidR="00D66F67" w:rsidRPr="00820915">
        <w:t>, if used</w:t>
      </w:r>
    </w:p>
    <w:p w:rsidR="00CF3015" w:rsidRDefault="00CF3015" w:rsidP="00465290">
      <w:pPr>
        <w:pStyle w:val="BodyTextIndent2"/>
        <w:tabs>
          <w:tab w:val="clear" w:pos="2520"/>
          <w:tab w:val="left" w:pos="2160"/>
        </w:tabs>
        <w:ind w:left="720"/>
        <w:rPr>
          <w:b/>
        </w:rPr>
      </w:pPr>
    </w:p>
    <w:p w:rsidR="00CF3015" w:rsidRPr="00465290" w:rsidRDefault="00CF3015" w:rsidP="00BF458E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465290">
        <w:rPr>
          <w:sz w:val="24"/>
          <w:szCs w:val="24"/>
        </w:rPr>
        <w:t xml:space="preserve">Use of a </w:t>
      </w:r>
      <w:proofErr w:type="spellStart"/>
      <w:r w:rsidRPr="00465290">
        <w:rPr>
          <w:sz w:val="24"/>
          <w:szCs w:val="24"/>
        </w:rPr>
        <w:t>transepithelial</w:t>
      </w:r>
      <w:proofErr w:type="spellEnd"/>
      <w:r w:rsidRPr="00465290">
        <w:rPr>
          <w:sz w:val="24"/>
          <w:szCs w:val="24"/>
        </w:rPr>
        <w:t xml:space="preserve"> oral brush biopsy should be reserved for situations where the use and results are studied in an IRB-approved protocol. (</w:t>
      </w:r>
      <w:r w:rsidR="00261DCC" w:rsidRPr="00261DCC">
        <w:rPr>
          <w:bCs/>
          <w:sz w:val="24"/>
          <w:szCs w:val="24"/>
        </w:rPr>
        <w:t>Professional opinion of Oral Cancer Medical Advisory Committee 2013</w:t>
      </w:r>
      <w:r w:rsidRPr="00261DCC">
        <w:rPr>
          <w:sz w:val="24"/>
          <w:szCs w:val="24"/>
        </w:rPr>
        <w:t xml:space="preserve">)  </w:t>
      </w:r>
      <w:r w:rsidRPr="00465290">
        <w:rPr>
          <w:sz w:val="24"/>
          <w:szCs w:val="24"/>
        </w:rPr>
        <w:t>In the situation of use in a study protocol, the actions and follow-up of the brush biopsy results would be defined by the approved protocol and are beyond the scope of these Minimal Elements.</w:t>
      </w:r>
      <w:r w:rsidRPr="00465290" w:rsidDel="00CA1D2A">
        <w:rPr>
          <w:sz w:val="24"/>
          <w:szCs w:val="24"/>
        </w:rPr>
        <w:t xml:space="preserve"> </w:t>
      </w:r>
    </w:p>
    <w:p w:rsidR="00CF3015" w:rsidRPr="00820915" w:rsidRDefault="00CF3015" w:rsidP="00DF0748">
      <w:pPr>
        <w:ind w:left="1440"/>
        <w:rPr>
          <w:sz w:val="24"/>
          <w:szCs w:val="24"/>
        </w:rPr>
      </w:pPr>
    </w:p>
    <w:p w:rsidR="00CF3015" w:rsidRPr="00820915" w:rsidRDefault="00CF3015" w:rsidP="00F82E0A">
      <w:pPr>
        <w:ind w:left="720"/>
        <w:rPr>
          <w:sz w:val="24"/>
          <w:szCs w:val="24"/>
        </w:rPr>
      </w:pPr>
      <w:r w:rsidRPr="00D70F91">
        <w:rPr>
          <w:sz w:val="24"/>
          <w:szCs w:val="24"/>
        </w:rPr>
        <w:t>H.</w:t>
      </w:r>
      <w:r w:rsidRPr="00820915">
        <w:rPr>
          <w:sz w:val="24"/>
          <w:szCs w:val="24"/>
        </w:rPr>
        <w:t xml:space="preserve">  </w:t>
      </w:r>
      <w:r w:rsidRPr="00D70F91">
        <w:rPr>
          <w:sz w:val="24"/>
          <w:szCs w:val="24"/>
        </w:rPr>
        <w:t xml:space="preserve">Follow-up of Symptomatic patients with </w:t>
      </w:r>
      <w:r w:rsidR="00D94CB6" w:rsidRPr="00D70F91">
        <w:rPr>
          <w:sz w:val="24"/>
          <w:szCs w:val="24"/>
        </w:rPr>
        <w:t>n</w:t>
      </w:r>
      <w:r w:rsidRPr="00D70F91">
        <w:rPr>
          <w:sz w:val="24"/>
          <w:szCs w:val="24"/>
        </w:rPr>
        <w:t>egative oral cancer exam</w:t>
      </w:r>
      <w:r w:rsidRPr="00820915">
        <w:rPr>
          <w:sz w:val="24"/>
          <w:szCs w:val="24"/>
        </w:rPr>
        <w:t>:</w:t>
      </w:r>
    </w:p>
    <w:p w:rsidR="00CF3015" w:rsidRDefault="00CF3015" w:rsidP="00F82E0A">
      <w:pPr>
        <w:ind w:left="720"/>
        <w:rPr>
          <w:sz w:val="24"/>
          <w:szCs w:val="24"/>
        </w:rPr>
      </w:pPr>
    </w:p>
    <w:p w:rsidR="00CF3015" w:rsidRPr="00465290" w:rsidRDefault="00CF3015" w:rsidP="00BF458E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465290">
        <w:rPr>
          <w:sz w:val="24"/>
          <w:szCs w:val="24"/>
        </w:rPr>
        <w:lastRenderedPageBreak/>
        <w:t xml:space="preserve">Symptomatic patients with negative oral cancer examinations require case by case evaluation of the symptoms and risk factors with appropriate referral and reexamination as directed by the </w:t>
      </w:r>
      <w:r w:rsidR="003763CB" w:rsidRPr="00465290">
        <w:rPr>
          <w:sz w:val="24"/>
          <w:szCs w:val="24"/>
        </w:rPr>
        <w:t>M</w:t>
      </w:r>
      <w:r w:rsidRPr="00465290">
        <w:rPr>
          <w:sz w:val="24"/>
          <w:szCs w:val="24"/>
        </w:rPr>
        <w:t xml:space="preserve">edical </w:t>
      </w:r>
      <w:r w:rsidR="003763CB" w:rsidRPr="00465290">
        <w:rPr>
          <w:sz w:val="24"/>
          <w:szCs w:val="24"/>
        </w:rPr>
        <w:t>C</w:t>
      </w:r>
      <w:r w:rsidRPr="00465290">
        <w:rPr>
          <w:sz w:val="24"/>
          <w:szCs w:val="24"/>
        </w:rPr>
        <w:t xml:space="preserve">ase </w:t>
      </w:r>
      <w:r w:rsidR="003763CB" w:rsidRPr="00465290">
        <w:rPr>
          <w:sz w:val="24"/>
          <w:szCs w:val="24"/>
        </w:rPr>
        <w:t>M</w:t>
      </w:r>
      <w:r w:rsidRPr="00465290">
        <w:rPr>
          <w:sz w:val="24"/>
          <w:szCs w:val="24"/>
        </w:rPr>
        <w:t>anager.</w:t>
      </w:r>
    </w:p>
    <w:p w:rsidR="00CF3015" w:rsidRDefault="00CF3015">
      <w:pPr>
        <w:ind w:hanging="720"/>
        <w:rPr>
          <w:sz w:val="24"/>
        </w:rPr>
      </w:pPr>
      <w:r>
        <w:rPr>
          <w:sz w:val="24"/>
        </w:rPr>
        <w:tab/>
      </w:r>
    </w:p>
    <w:p w:rsidR="00CF3015" w:rsidRPr="00BB5483" w:rsidRDefault="00CF3015">
      <w:pPr>
        <w:rPr>
          <w:b/>
          <w:sz w:val="24"/>
        </w:rPr>
      </w:pPr>
      <w:r>
        <w:rPr>
          <w:b/>
          <w:sz w:val="24"/>
        </w:rPr>
        <w:t>V</w:t>
      </w:r>
      <w:r w:rsidR="00C83023">
        <w:rPr>
          <w:b/>
          <w:sz w:val="24"/>
        </w:rPr>
        <w:t>I</w:t>
      </w:r>
      <w:r w:rsidR="007E75D0">
        <w:rPr>
          <w:b/>
          <w:sz w:val="24"/>
        </w:rPr>
        <w:t xml:space="preserve">. </w:t>
      </w:r>
      <w:r w:rsidR="007E75D0" w:rsidRPr="007E75D0">
        <w:rPr>
          <w:b/>
          <w:sz w:val="24"/>
        </w:rPr>
        <w:t>Diagnosis</w:t>
      </w:r>
      <w:r w:rsidRPr="007E75D0">
        <w:rPr>
          <w:b/>
          <w:sz w:val="24"/>
        </w:rPr>
        <w:t xml:space="preserve"> and Further Evaluation</w:t>
      </w:r>
    </w:p>
    <w:p w:rsidR="00CF3015" w:rsidRPr="00DF74F5" w:rsidRDefault="00CF3015">
      <w:pPr>
        <w:ind w:left="720" w:hanging="720"/>
        <w:rPr>
          <w:b/>
          <w:sz w:val="24"/>
          <w:u w:val="single"/>
        </w:rPr>
      </w:pPr>
    </w:p>
    <w:p w:rsidR="00CF3015" w:rsidRPr="00CA1D2A" w:rsidRDefault="00CF3015" w:rsidP="00DF0748">
      <w:pPr>
        <w:ind w:left="720"/>
        <w:rPr>
          <w:sz w:val="24"/>
          <w:szCs w:val="24"/>
        </w:rPr>
      </w:pPr>
      <w:r w:rsidRPr="00CA1D2A">
        <w:rPr>
          <w:sz w:val="24"/>
          <w:szCs w:val="24"/>
        </w:rPr>
        <w:t>Further diagnostic tests should be dire</w:t>
      </w:r>
      <w:r>
        <w:rPr>
          <w:sz w:val="24"/>
          <w:szCs w:val="24"/>
        </w:rPr>
        <w:t xml:space="preserve">cted by the patient's </w:t>
      </w:r>
      <w:r w:rsidR="00BB6415">
        <w:rPr>
          <w:sz w:val="24"/>
          <w:szCs w:val="24"/>
        </w:rPr>
        <w:t>M</w:t>
      </w:r>
      <w:r>
        <w:rPr>
          <w:sz w:val="24"/>
          <w:szCs w:val="24"/>
        </w:rPr>
        <w:t xml:space="preserve">edical </w:t>
      </w:r>
      <w:r w:rsidR="00BB6415">
        <w:rPr>
          <w:sz w:val="24"/>
          <w:szCs w:val="24"/>
        </w:rPr>
        <w:t>C</w:t>
      </w:r>
      <w:r>
        <w:rPr>
          <w:sz w:val="24"/>
          <w:szCs w:val="24"/>
        </w:rPr>
        <w:t xml:space="preserve">ase </w:t>
      </w:r>
      <w:r w:rsidR="00BB6415">
        <w:rPr>
          <w:sz w:val="24"/>
          <w:szCs w:val="24"/>
        </w:rPr>
        <w:t>M</w:t>
      </w:r>
      <w:r w:rsidRPr="00CA1D2A">
        <w:rPr>
          <w:sz w:val="24"/>
          <w:szCs w:val="24"/>
        </w:rPr>
        <w:t xml:space="preserve">anager.  </w:t>
      </w:r>
      <w:r w:rsidRPr="00DF0748">
        <w:rPr>
          <w:sz w:val="24"/>
          <w:szCs w:val="24"/>
        </w:rPr>
        <w:t xml:space="preserve">Treatment will be </w:t>
      </w:r>
      <w:r>
        <w:rPr>
          <w:sz w:val="24"/>
          <w:szCs w:val="24"/>
        </w:rPr>
        <w:t>recommended</w:t>
      </w:r>
      <w:r w:rsidRPr="00DF0748">
        <w:rPr>
          <w:sz w:val="24"/>
          <w:szCs w:val="24"/>
        </w:rPr>
        <w:t xml:space="preserve"> by the medical, dental, and surgical team (</w:t>
      </w:r>
      <w:r w:rsidR="00BB6415">
        <w:rPr>
          <w:sz w:val="24"/>
          <w:szCs w:val="24"/>
        </w:rPr>
        <w:t>M</w:t>
      </w:r>
      <w:r w:rsidRPr="00DF0748">
        <w:rPr>
          <w:sz w:val="24"/>
          <w:szCs w:val="24"/>
        </w:rPr>
        <w:t xml:space="preserve">edical </w:t>
      </w:r>
      <w:r w:rsidR="00BB6415">
        <w:rPr>
          <w:sz w:val="24"/>
          <w:szCs w:val="24"/>
        </w:rPr>
        <w:t>C</w:t>
      </w:r>
      <w:r w:rsidRPr="00DF0748">
        <w:rPr>
          <w:sz w:val="24"/>
          <w:szCs w:val="24"/>
        </w:rPr>
        <w:t xml:space="preserve">ase </w:t>
      </w:r>
      <w:r w:rsidR="00BB6415">
        <w:rPr>
          <w:sz w:val="24"/>
          <w:szCs w:val="24"/>
        </w:rPr>
        <w:t>M</w:t>
      </w:r>
      <w:r w:rsidRPr="00DF0748">
        <w:rPr>
          <w:sz w:val="24"/>
          <w:szCs w:val="24"/>
        </w:rPr>
        <w:t xml:space="preserve">anager[s]), on an individual basis.  </w:t>
      </w:r>
    </w:p>
    <w:p w:rsidR="00CF3015" w:rsidRDefault="00CF3015" w:rsidP="00F82E0A">
      <w:pPr>
        <w:ind w:left="720" w:hanging="720"/>
        <w:rPr>
          <w:sz w:val="24"/>
        </w:rPr>
      </w:pPr>
    </w:p>
    <w:p w:rsidR="00CF3015" w:rsidRPr="000D1BB7" w:rsidRDefault="00CF3015">
      <w:pPr>
        <w:rPr>
          <w:b/>
          <w:sz w:val="24"/>
        </w:rPr>
      </w:pPr>
      <w:r>
        <w:rPr>
          <w:b/>
          <w:sz w:val="24"/>
        </w:rPr>
        <w:br w:type="page"/>
      </w:r>
      <w:r w:rsidRPr="000D1BB7">
        <w:rPr>
          <w:b/>
          <w:sz w:val="24"/>
        </w:rPr>
        <w:lastRenderedPageBreak/>
        <w:t>References:</w:t>
      </w:r>
    </w:p>
    <w:p w:rsidR="00CF3015" w:rsidRDefault="00CF3015">
      <w:pPr>
        <w:rPr>
          <w:sz w:val="24"/>
        </w:rPr>
      </w:pPr>
    </w:p>
    <w:p w:rsidR="00BB5483" w:rsidRDefault="00BB6415" w:rsidP="00BF458E">
      <w:pPr>
        <w:numPr>
          <w:ilvl w:val="0"/>
          <w:numId w:val="8"/>
        </w:numPr>
        <w:rPr>
          <w:rStyle w:val="Hyperlink"/>
          <w:color w:val="auto"/>
          <w:sz w:val="24"/>
          <w:u w:val="none"/>
        </w:rPr>
      </w:pPr>
      <w:r w:rsidRPr="006F0E4C">
        <w:rPr>
          <w:sz w:val="24"/>
        </w:rPr>
        <w:t xml:space="preserve">National Cancer Institute.  What you need to know about oral cancer.  </w:t>
      </w:r>
      <w:r w:rsidR="006F0E4C">
        <w:rPr>
          <w:sz w:val="24"/>
        </w:rPr>
        <w:t xml:space="preserve">Available at </w:t>
      </w:r>
      <w:hyperlink r:id="rId12" w:history="1">
        <w:r w:rsidR="00BB5483" w:rsidRPr="006F0E4C">
          <w:rPr>
            <w:rStyle w:val="Hyperlink"/>
            <w:sz w:val="24"/>
          </w:rPr>
          <w:t>http://www.cancer.gov/cancertopics/wyntk/oral</w:t>
        </w:r>
      </w:hyperlink>
      <w:r w:rsidR="006F0E4C">
        <w:rPr>
          <w:rStyle w:val="Hyperlink"/>
          <w:sz w:val="24"/>
        </w:rPr>
        <w:t>.</w:t>
      </w:r>
      <w:r w:rsidR="006F0E4C" w:rsidRPr="006F0E4C">
        <w:rPr>
          <w:rStyle w:val="Hyperlink"/>
          <w:sz w:val="24"/>
          <w:u w:val="none"/>
        </w:rPr>
        <w:t xml:space="preserve">  </w:t>
      </w:r>
      <w:r w:rsidR="006F0E4C" w:rsidRPr="006F0E4C">
        <w:rPr>
          <w:rStyle w:val="Hyperlink"/>
          <w:color w:val="auto"/>
          <w:sz w:val="24"/>
          <w:u w:val="none"/>
        </w:rPr>
        <w:t xml:space="preserve">Last </w:t>
      </w:r>
      <w:r w:rsidR="006F0E4C" w:rsidRPr="00982F2C">
        <w:rPr>
          <w:rStyle w:val="Hyperlink"/>
          <w:color w:val="auto"/>
          <w:sz w:val="24"/>
          <w:u w:val="none"/>
        </w:rPr>
        <w:t>accessed December 2, 2013.</w:t>
      </w:r>
    </w:p>
    <w:p w:rsidR="008C4D09" w:rsidRPr="000409FA" w:rsidRDefault="008C4D09" w:rsidP="00BF458E">
      <w:pPr>
        <w:numPr>
          <w:ilvl w:val="0"/>
          <w:numId w:val="8"/>
        </w:numPr>
        <w:rPr>
          <w:sz w:val="24"/>
        </w:rPr>
      </w:pPr>
      <w:r w:rsidRPr="008C4D09">
        <w:rPr>
          <w:iCs/>
          <w:sz w:val="24"/>
          <w:szCs w:val="24"/>
        </w:rPr>
        <w:t>Day</w:t>
      </w:r>
      <w:r>
        <w:rPr>
          <w:iCs/>
          <w:sz w:val="24"/>
          <w:szCs w:val="24"/>
        </w:rPr>
        <w:t xml:space="preserve"> GL,</w:t>
      </w:r>
      <w:r w:rsidRPr="008C4D09">
        <w:rPr>
          <w:iCs/>
          <w:sz w:val="24"/>
          <w:szCs w:val="24"/>
        </w:rPr>
        <w:t xml:space="preserve"> Blot</w:t>
      </w:r>
      <w:r>
        <w:rPr>
          <w:iCs/>
          <w:sz w:val="24"/>
          <w:szCs w:val="24"/>
        </w:rPr>
        <w:t xml:space="preserve"> W.  Second primary tumors in patients with oral cancer. Cancer. </w:t>
      </w:r>
      <w:r w:rsidR="00487CA9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1992</w:t>
      </w:r>
      <w:proofErr w:type="gramStart"/>
      <w:r>
        <w:rPr>
          <w:iCs/>
          <w:sz w:val="24"/>
          <w:szCs w:val="24"/>
        </w:rPr>
        <w:t>;70</w:t>
      </w:r>
      <w:proofErr w:type="gramEnd"/>
      <w:r>
        <w:rPr>
          <w:iCs/>
          <w:sz w:val="24"/>
          <w:szCs w:val="24"/>
        </w:rPr>
        <w:t>(1):14-19.</w:t>
      </w:r>
    </w:p>
    <w:p w:rsidR="000409FA" w:rsidRPr="000409FA" w:rsidRDefault="00487CA9" w:rsidP="00BF458E">
      <w:pPr>
        <w:numPr>
          <w:ilvl w:val="0"/>
          <w:numId w:val="8"/>
        </w:numPr>
        <w:rPr>
          <w:sz w:val="24"/>
        </w:rPr>
      </w:pPr>
      <w:proofErr w:type="spellStart"/>
      <w:r>
        <w:rPr>
          <w:iCs/>
          <w:sz w:val="24"/>
          <w:szCs w:val="24"/>
        </w:rPr>
        <w:t>Adami</w:t>
      </w:r>
      <w:proofErr w:type="spellEnd"/>
      <w:r>
        <w:rPr>
          <w:iCs/>
          <w:sz w:val="24"/>
          <w:szCs w:val="24"/>
        </w:rPr>
        <w:t xml:space="preserve"> J, Gabel H, </w:t>
      </w:r>
      <w:proofErr w:type="spellStart"/>
      <w:r>
        <w:rPr>
          <w:iCs/>
          <w:sz w:val="24"/>
          <w:szCs w:val="24"/>
        </w:rPr>
        <w:t>Lindelof</w:t>
      </w:r>
      <w:proofErr w:type="spellEnd"/>
      <w:r>
        <w:rPr>
          <w:iCs/>
          <w:sz w:val="24"/>
          <w:szCs w:val="24"/>
        </w:rPr>
        <w:t xml:space="preserve"> B, et al. Cancer risk following organ transplantation: A nationwide cohort study in Sweden.  Br J Cancer. 2003</w:t>
      </w:r>
      <w:proofErr w:type="gramStart"/>
      <w:r>
        <w:rPr>
          <w:iCs/>
          <w:sz w:val="24"/>
          <w:szCs w:val="24"/>
        </w:rPr>
        <w:t>;89:1221</w:t>
      </w:r>
      <w:proofErr w:type="gramEnd"/>
      <w:r>
        <w:rPr>
          <w:iCs/>
          <w:sz w:val="24"/>
          <w:szCs w:val="24"/>
        </w:rPr>
        <w:t>-1227.</w:t>
      </w:r>
    </w:p>
    <w:p w:rsidR="000409FA" w:rsidRPr="00487CA9" w:rsidRDefault="00487CA9" w:rsidP="00BF458E">
      <w:pPr>
        <w:numPr>
          <w:ilvl w:val="0"/>
          <w:numId w:val="8"/>
        </w:numPr>
        <w:rPr>
          <w:sz w:val="24"/>
          <w:szCs w:val="24"/>
        </w:rPr>
      </w:pPr>
      <w:r>
        <w:rPr>
          <w:iCs/>
          <w:sz w:val="24"/>
          <w:szCs w:val="24"/>
        </w:rPr>
        <w:t xml:space="preserve">Fang M, Zhang W, Chen Y, He Z. Malignant transformation of oral lichen </w:t>
      </w:r>
      <w:proofErr w:type="spellStart"/>
      <w:r>
        <w:rPr>
          <w:iCs/>
          <w:sz w:val="24"/>
          <w:szCs w:val="24"/>
        </w:rPr>
        <w:t>planus</w:t>
      </w:r>
      <w:proofErr w:type="spellEnd"/>
      <w:r>
        <w:rPr>
          <w:iCs/>
          <w:sz w:val="24"/>
          <w:szCs w:val="24"/>
        </w:rPr>
        <w:t xml:space="preserve">: A retrospective study of 23 </w:t>
      </w:r>
      <w:r w:rsidRPr="00487CA9">
        <w:rPr>
          <w:iCs/>
          <w:sz w:val="24"/>
          <w:szCs w:val="24"/>
        </w:rPr>
        <w:t xml:space="preserve">cases.  </w:t>
      </w:r>
      <w:r w:rsidRPr="00487CA9">
        <w:rPr>
          <w:rStyle w:val="jrnl"/>
          <w:sz w:val="24"/>
          <w:szCs w:val="24"/>
        </w:rPr>
        <w:t>Quintessence Int</w:t>
      </w:r>
      <w:r w:rsidR="00A21023">
        <w:rPr>
          <w:rStyle w:val="jrnl"/>
          <w:sz w:val="24"/>
          <w:szCs w:val="24"/>
        </w:rPr>
        <w:t>.</w:t>
      </w:r>
      <w:r>
        <w:rPr>
          <w:sz w:val="24"/>
          <w:szCs w:val="24"/>
        </w:rPr>
        <w:t xml:space="preserve"> 2009</w:t>
      </w:r>
      <w:proofErr w:type="gramStart"/>
      <w:r w:rsidRPr="00487CA9">
        <w:rPr>
          <w:sz w:val="24"/>
          <w:szCs w:val="24"/>
        </w:rPr>
        <w:t>;40</w:t>
      </w:r>
      <w:proofErr w:type="gramEnd"/>
      <w:r w:rsidRPr="00487CA9">
        <w:rPr>
          <w:sz w:val="24"/>
          <w:szCs w:val="24"/>
        </w:rPr>
        <w:t>(3):235-42.</w:t>
      </w:r>
      <w:r w:rsidRPr="00487CA9">
        <w:rPr>
          <w:iCs/>
          <w:sz w:val="24"/>
          <w:szCs w:val="24"/>
        </w:rPr>
        <w:t xml:space="preserve">  </w:t>
      </w:r>
    </w:p>
    <w:p w:rsidR="000409FA" w:rsidRPr="00D03654" w:rsidRDefault="00D03654" w:rsidP="00BF458E">
      <w:pPr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iCs/>
          <w:sz w:val="24"/>
          <w:szCs w:val="24"/>
        </w:rPr>
        <w:t>Kutler</w:t>
      </w:r>
      <w:proofErr w:type="spellEnd"/>
      <w:r>
        <w:rPr>
          <w:iCs/>
          <w:sz w:val="24"/>
          <w:szCs w:val="24"/>
        </w:rPr>
        <w:t xml:space="preserve"> DI, </w:t>
      </w:r>
      <w:proofErr w:type="spellStart"/>
      <w:r>
        <w:rPr>
          <w:iCs/>
          <w:sz w:val="24"/>
          <w:szCs w:val="24"/>
        </w:rPr>
        <w:t>Auerbach</w:t>
      </w:r>
      <w:proofErr w:type="spellEnd"/>
      <w:r>
        <w:rPr>
          <w:iCs/>
          <w:sz w:val="24"/>
          <w:szCs w:val="24"/>
        </w:rPr>
        <w:t xml:space="preserve"> AD, </w:t>
      </w:r>
      <w:proofErr w:type="spellStart"/>
      <w:r>
        <w:rPr>
          <w:iCs/>
          <w:sz w:val="24"/>
          <w:szCs w:val="24"/>
        </w:rPr>
        <w:t>S</w:t>
      </w:r>
      <w:r w:rsidRPr="00D03654">
        <w:rPr>
          <w:iCs/>
          <w:sz w:val="24"/>
          <w:szCs w:val="24"/>
        </w:rPr>
        <w:t>atagopan</w:t>
      </w:r>
      <w:proofErr w:type="spellEnd"/>
      <w:r w:rsidRPr="00D03654">
        <w:rPr>
          <w:iCs/>
          <w:sz w:val="24"/>
          <w:szCs w:val="24"/>
        </w:rPr>
        <w:t xml:space="preserve"> J, et al.  High incident of squamous cell carcinoma in patients with </w:t>
      </w:r>
      <w:proofErr w:type="spellStart"/>
      <w:r w:rsidRPr="00D03654">
        <w:rPr>
          <w:iCs/>
          <w:sz w:val="24"/>
          <w:szCs w:val="24"/>
        </w:rPr>
        <w:t>Fanconi</w:t>
      </w:r>
      <w:proofErr w:type="spellEnd"/>
      <w:r w:rsidRPr="00D03654">
        <w:rPr>
          <w:iCs/>
          <w:sz w:val="24"/>
          <w:szCs w:val="24"/>
        </w:rPr>
        <w:t xml:space="preserve"> Anemia.  </w:t>
      </w:r>
      <w:r w:rsidRPr="00D03654">
        <w:rPr>
          <w:color w:val="241F20"/>
          <w:sz w:val="24"/>
          <w:szCs w:val="24"/>
        </w:rPr>
        <w:t xml:space="preserve">Arch </w:t>
      </w:r>
      <w:proofErr w:type="spellStart"/>
      <w:r w:rsidRPr="00D03654">
        <w:rPr>
          <w:color w:val="241F20"/>
          <w:sz w:val="24"/>
          <w:szCs w:val="24"/>
        </w:rPr>
        <w:t>Otolaryngol</w:t>
      </w:r>
      <w:proofErr w:type="spellEnd"/>
      <w:r w:rsidRPr="00D03654">
        <w:rPr>
          <w:color w:val="241F20"/>
          <w:sz w:val="24"/>
          <w:szCs w:val="24"/>
        </w:rPr>
        <w:t xml:space="preserve"> Head Neck Surg. </w:t>
      </w:r>
      <w:r>
        <w:rPr>
          <w:color w:val="241F20"/>
          <w:sz w:val="24"/>
          <w:szCs w:val="24"/>
        </w:rPr>
        <w:t>2003</w:t>
      </w:r>
      <w:proofErr w:type="gramStart"/>
      <w:r>
        <w:rPr>
          <w:color w:val="241F20"/>
          <w:sz w:val="24"/>
          <w:szCs w:val="24"/>
        </w:rPr>
        <w:t>;129:106</w:t>
      </w:r>
      <w:proofErr w:type="gramEnd"/>
      <w:r>
        <w:rPr>
          <w:color w:val="241F20"/>
          <w:sz w:val="24"/>
          <w:szCs w:val="24"/>
        </w:rPr>
        <w:t>-12.</w:t>
      </w:r>
      <w:r w:rsidRPr="00D03654">
        <w:rPr>
          <w:color w:val="241F20"/>
          <w:sz w:val="24"/>
          <w:szCs w:val="24"/>
        </w:rPr>
        <w:t xml:space="preserve">  </w:t>
      </w:r>
    </w:p>
    <w:p w:rsidR="00004193" w:rsidRDefault="00982F2C" w:rsidP="00BF458E">
      <w:pPr>
        <w:numPr>
          <w:ilvl w:val="0"/>
          <w:numId w:val="8"/>
        </w:numPr>
        <w:rPr>
          <w:sz w:val="24"/>
          <w:szCs w:val="24"/>
        </w:rPr>
      </w:pPr>
      <w:r w:rsidRPr="00D03654">
        <w:rPr>
          <w:sz w:val="24"/>
          <w:szCs w:val="24"/>
        </w:rPr>
        <w:t xml:space="preserve">Recommendations from the Maryland </w:t>
      </w:r>
      <w:r w:rsidR="00004193" w:rsidRPr="00D03654">
        <w:rPr>
          <w:sz w:val="24"/>
          <w:szCs w:val="24"/>
        </w:rPr>
        <w:t>Oral</w:t>
      </w:r>
      <w:r w:rsidRPr="00D03654">
        <w:rPr>
          <w:sz w:val="24"/>
          <w:szCs w:val="24"/>
        </w:rPr>
        <w:t xml:space="preserve"> Cancer</w:t>
      </w:r>
      <w:r w:rsidR="00004193" w:rsidRPr="00D03654">
        <w:rPr>
          <w:sz w:val="24"/>
          <w:szCs w:val="24"/>
        </w:rPr>
        <w:t xml:space="preserve"> </w:t>
      </w:r>
      <w:r w:rsidRPr="00D03654">
        <w:rPr>
          <w:sz w:val="24"/>
          <w:szCs w:val="24"/>
        </w:rPr>
        <w:t>Medical</w:t>
      </w:r>
      <w:r w:rsidRPr="002A6FCE">
        <w:rPr>
          <w:sz w:val="24"/>
        </w:rPr>
        <w:t xml:space="preserve"> Advisory Committee, 2013 or </w:t>
      </w:r>
      <w:r w:rsidRPr="002A6FCE">
        <w:rPr>
          <w:sz w:val="24"/>
          <w:szCs w:val="24"/>
        </w:rPr>
        <w:t>prior years.</w:t>
      </w:r>
    </w:p>
    <w:p w:rsidR="00196E93" w:rsidRPr="002A6FCE" w:rsidRDefault="00196E93" w:rsidP="00196E93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National Cancer Institute.  Oral Cancer Prevention (PDQ).  Available at </w:t>
      </w:r>
      <w:hyperlink r:id="rId13" w:history="1">
        <w:r w:rsidRPr="005F4856">
          <w:rPr>
            <w:rStyle w:val="Hyperlink"/>
            <w:sz w:val="24"/>
            <w:szCs w:val="24"/>
          </w:rPr>
          <w:t>http://www.cancer.gov/cancertopics/pdq/prevention/oral/HealthProfessional</w:t>
        </w:r>
      </w:hyperlink>
      <w:r>
        <w:rPr>
          <w:sz w:val="24"/>
          <w:szCs w:val="24"/>
        </w:rPr>
        <w:t xml:space="preserve">.  Last accessed December 2, 2103.  </w:t>
      </w:r>
    </w:p>
    <w:p w:rsidR="00004193" w:rsidRPr="002A6FCE" w:rsidRDefault="00004193" w:rsidP="00BF458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A6FCE">
        <w:rPr>
          <w:sz w:val="24"/>
          <w:szCs w:val="24"/>
        </w:rPr>
        <w:t xml:space="preserve">American Institute for Cancer Research. Food, Nutrition, Physical Activity, and the Prevention of Cancer: a Global Perspective.  Available at </w:t>
      </w:r>
      <w:hyperlink r:id="rId14" w:history="1">
        <w:r w:rsidRPr="002A6FCE">
          <w:rPr>
            <w:rStyle w:val="Hyperlink"/>
            <w:sz w:val="24"/>
            <w:szCs w:val="24"/>
          </w:rPr>
          <w:t>http://www.dietandcancerreport.org/expert_report/report_contents/index.php</w:t>
        </w:r>
      </w:hyperlink>
      <w:r w:rsidRPr="002A6FCE">
        <w:rPr>
          <w:sz w:val="24"/>
          <w:szCs w:val="24"/>
        </w:rPr>
        <w:t>.</w:t>
      </w:r>
      <w:r w:rsidR="000B04FD">
        <w:rPr>
          <w:sz w:val="24"/>
          <w:szCs w:val="24"/>
        </w:rPr>
        <w:t xml:space="preserve">  Last accessed December 6, 2013.</w:t>
      </w:r>
    </w:p>
    <w:p w:rsidR="00D5113F" w:rsidRPr="00A3778D" w:rsidRDefault="002A6FCE" w:rsidP="00BF458E">
      <w:pPr>
        <w:numPr>
          <w:ilvl w:val="0"/>
          <w:numId w:val="8"/>
        </w:numPr>
        <w:rPr>
          <w:sz w:val="24"/>
        </w:rPr>
      </w:pPr>
      <w:r>
        <w:rPr>
          <w:sz w:val="24"/>
          <w:szCs w:val="24"/>
        </w:rPr>
        <w:t xml:space="preserve">National Cancer Institute.  </w:t>
      </w:r>
      <w:r w:rsidR="00D5113F">
        <w:rPr>
          <w:sz w:val="24"/>
          <w:szCs w:val="24"/>
        </w:rPr>
        <w:t>HPV</w:t>
      </w:r>
      <w:r>
        <w:rPr>
          <w:sz w:val="24"/>
          <w:szCs w:val="24"/>
        </w:rPr>
        <w:t xml:space="preserve"> and cancer factsheet.  Available at </w:t>
      </w:r>
      <w:hyperlink r:id="rId15" w:history="1">
        <w:r w:rsidRPr="005F4856">
          <w:rPr>
            <w:rStyle w:val="Hyperlink"/>
            <w:sz w:val="24"/>
            <w:szCs w:val="24"/>
          </w:rPr>
          <w:t>http://www.cancer.gov/cancertopics/factsheet/Risk/HPV</w:t>
        </w:r>
      </w:hyperlink>
      <w:r>
        <w:rPr>
          <w:sz w:val="24"/>
          <w:szCs w:val="24"/>
        </w:rPr>
        <w:t>.   Last access December 2, 2103.</w:t>
      </w:r>
    </w:p>
    <w:p w:rsidR="00A3778D" w:rsidRDefault="00A3778D" w:rsidP="00A3778D">
      <w:pPr>
        <w:numPr>
          <w:ilvl w:val="0"/>
          <w:numId w:val="8"/>
        </w:numPr>
        <w:rPr>
          <w:sz w:val="24"/>
        </w:rPr>
      </w:pPr>
      <w:r>
        <w:rPr>
          <w:sz w:val="24"/>
          <w:szCs w:val="24"/>
        </w:rPr>
        <w:t xml:space="preserve">United States Preventive Services Task Force.  Screening for oral cancer; November 2013.  Available at </w:t>
      </w:r>
      <w:hyperlink r:id="rId16" w:history="1">
        <w:r w:rsidRPr="005F4856">
          <w:rPr>
            <w:rStyle w:val="Hyperlink"/>
            <w:sz w:val="24"/>
            <w:szCs w:val="24"/>
          </w:rPr>
          <w:t>http://www.uspreventiveservicestaskforce.org/uspstf13/oralcan/oralcanfinalrec.htm</w:t>
        </w:r>
      </w:hyperlink>
      <w:r>
        <w:rPr>
          <w:sz w:val="24"/>
          <w:szCs w:val="24"/>
        </w:rPr>
        <w:t>.  Last accessed December 2, 2013.</w:t>
      </w:r>
    </w:p>
    <w:p w:rsidR="002B5849" w:rsidRPr="00746EEF" w:rsidRDefault="006856BA" w:rsidP="006856BA">
      <w:pPr>
        <w:numPr>
          <w:ilvl w:val="0"/>
          <w:numId w:val="8"/>
        </w:numPr>
        <w:rPr>
          <w:rStyle w:val="Hyperlink"/>
          <w:color w:val="auto"/>
          <w:sz w:val="24"/>
          <w:u w:val="none"/>
        </w:rPr>
      </w:pPr>
      <w:r w:rsidRPr="00BB5483">
        <w:rPr>
          <w:sz w:val="24"/>
        </w:rPr>
        <w:t>American Dental</w:t>
      </w:r>
      <w:r>
        <w:rPr>
          <w:sz w:val="24"/>
        </w:rPr>
        <w:t xml:space="preserve"> </w:t>
      </w:r>
      <w:r w:rsidRPr="00BB5483">
        <w:rPr>
          <w:sz w:val="24"/>
        </w:rPr>
        <w:t>Association (ADA)</w:t>
      </w:r>
      <w:r>
        <w:rPr>
          <w:sz w:val="24"/>
        </w:rPr>
        <w:t>.</w:t>
      </w:r>
      <w:r w:rsidRPr="00BB5483">
        <w:rPr>
          <w:sz w:val="24"/>
        </w:rPr>
        <w:t xml:space="preserve"> </w:t>
      </w:r>
      <w:r>
        <w:rPr>
          <w:sz w:val="24"/>
        </w:rPr>
        <w:t>S</w:t>
      </w:r>
      <w:r w:rsidRPr="00BB5483">
        <w:rPr>
          <w:sz w:val="24"/>
        </w:rPr>
        <w:t xml:space="preserve">creening </w:t>
      </w:r>
      <w:r>
        <w:rPr>
          <w:sz w:val="24"/>
        </w:rPr>
        <w:t>f</w:t>
      </w:r>
      <w:r w:rsidRPr="00BB5483">
        <w:rPr>
          <w:sz w:val="24"/>
        </w:rPr>
        <w:t xml:space="preserve">or </w:t>
      </w:r>
      <w:r>
        <w:rPr>
          <w:sz w:val="24"/>
        </w:rPr>
        <w:t>o</w:t>
      </w:r>
      <w:r w:rsidRPr="00BB5483">
        <w:rPr>
          <w:sz w:val="24"/>
        </w:rPr>
        <w:t xml:space="preserve">ral </w:t>
      </w:r>
      <w:r>
        <w:rPr>
          <w:sz w:val="24"/>
        </w:rPr>
        <w:t>s</w:t>
      </w:r>
      <w:r w:rsidRPr="00BB5483">
        <w:rPr>
          <w:sz w:val="24"/>
        </w:rPr>
        <w:t xml:space="preserve">quamous </w:t>
      </w:r>
      <w:r>
        <w:rPr>
          <w:sz w:val="24"/>
        </w:rPr>
        <w:t>c</w:t>
      </w:r>
      <w:r w:rsidRPr="00BB5483">
        <w:rPr>
          <w:sz w:val="24"/>
        </w:rPr>
        <w:t xml:space="preserve">ell </w:t>
      </w:r>
      <w:r>
        <w:rPr>
          <w:sz w:val="24"/>
        </w:rPr>
        <w:t>c</w:t>
      </w:r>
      <w:r w:rsidRPr="00BB5483">
        <w:rPr>
          <w:sz w:val="24"/>
        </w:rPr>
        <w:t>arcinomas</w:t>
      </w:r>
      <w:r>
        <w:rPr>
          <w:sz w:val="24"/>
        </w:rPr>
        <w:t xml:space="preserve">. Available at </w:t>
      </w:r>
      <w:hyperlink r:id="rId17" w:history="1">
        <w:r w:rsidRPr="00BB5483">
          <w:rPr>
            <w:rStyle w:val="Hyperlink"/>
            <w:sz w:val="24"/>
            <w:u w:val="none"/>
          </w:rPr>
          <w:t>http://ebd.ada.org/5907B_Oral_Cancer_Card(1).pdf</w:t>
        </w:r>
      </w:hyperlink>
      <w:r>
        <w:rPr>
          <w:rStyle w:val="Hyperlink"/>
          <w:sz w:val="24"/>
          <w:u w:val="none"/>
        </w:rPr>
        <w:t xml:space="preserve">.  Last accessed December 2, 2103. </w:t>
      </w:r>
    </w:p>
    <w:p w:rsidR="00746EEF" w:rsidRPr="00746EEF" w:rsidRDefault="00746EEF" w:rsidP="00EE7FCE">
      <w:pPr>
        <w:numPr>
          <w:ilvl w:val="0"/>
          <w:numId w:val="8"/>
        </w:numPr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National Cancer Institute.  </w:t>
      </w:r>
      <w:r w:rsidR="00EE7FCE">
        <w:rPr>
          <w:sz w:val="24"/>
          <w:szCs w:val="24"/>
        </w:rPr>
        <w:t xml:space="preserve">Oral cancer prevention; patient version. Available at </w:t>
      </w:r>
      <w:hyperlink r:id="rId18" w:history="1">
        <w:r w:rsidR="00EE7FCE" w:rsidRPr="00DC2519">
          <w:rPr>
            <w:rStyle w:val="Hyperlink"/>
            <w:sz w:val="24"/>
            <w:szCs w:val="24"/>
          </w:rPr>
          <w:t>http://www.cancer.gov/cancertopics/pdq/prevention/oral/Patient/page3</w:t>
        </w:r>
      </w:hyperlink>
      <w:r w:rsidR="00EE7FCE">
        <w:rPr>
          <w:sz w:val="24"/>
          <w:szCs w:val="24"/>
        </w:rPr>
        <w:t>.  Last accessed December 6, 2013.</w:t>
      </w:r>
    </w:p>
    <w:p w:rsidR="006856BA" w:rsidRPr="002B5849" w:rsidRDefault="002B5849" w:rsidP="006856BA">
      <w:pPr>
        <w:numPr>
          <w:ilvl w:val="0"/>
          <w:numId w:val="8"/>
        </w:numPr>
        <w:rPr>
          <w:rStyle w:val="Hyperlink"/>
          <w:color w:val="auto"/>
          <w:sz w:val="24"/>
          <w:szCs w:val="24"/>
          <w:u w:val="none"/>
        </w:rPr>
      </w:pPr>
      <w:r w:rsidRPr="002B5849">
        <w:rPr>
          <w:sz w:val="24"/>
          <w:szCs w:val="24"/>
        </w:rPr>
        <w:t>Patton LL, Epstein JB, Kerr AR. Adjunctive techniques for oral cancer examination and lesion diagnosis: A systematic review of the literature. J Am Dent Assoc. 2008</w:t>
      </w:r>
      <w:proofErr w:type="gramStart"/>
      <w:r w:rsidRPr="002B5849">
        <w:rPr>
          <w:sz w:val="24"/>
          <w:szCs w:val="24"/>
        </w:rPr>
        <w:t>;139</w:t>
      </w:r>
      <w:proofErr w:type="gramEnd"/>
      <w:r w:rsidRPr="002B5849">
        <w:rPr>
          <w:sz w:val="24"/>
          <w:szCs w:val="24"/>
        </w:rPr>
        <w:t>(7):896-905.</w:t>
      </w:r>
      <w:r w:rsidR="006856BA" w:rsidRPr="002B5849">
        <w:rPr>
          <w:rStyle w:val="Hyperlink"/>
          <w:sz w:val="24"/>
          <w:szCs w:val="24"/>
          <w:u w:val="none"/>
        </w:rPr>
        <w:t xml:space="preserve"> </w:t>
      </w:r>
    </w:p>
    <w:p w:rsidR="00CF3015" w:rsidRPr="001106C5" w:rsidRDefault="00CF3015" w:rsidP="001106C5">
      <w:pPr>
        <w:rPr>
          <w:b/>
          <w:sz w:val="24"/>
        </w:rPr>
      </w:pPr>
    </w:p>
    <w:p w:rsidR="00CF3015" w:rsidRDefault="00CF3015" w:rsidP="001106C5">
      <w:pPr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Oral Cancer Medical Advisory Committee Members</w:t>
      </w:r>
    </w:p>
    <w:p w:rsidR="00CF3015" w:rsidRDefault="007A4D04">
      <w:pPr>
        <w:rPr>
          <w:b/>
          <w:sz w:val="24"/>
        </w:rPr>
      </w:pPr>
      <w:r>
        <w:rPr>
          <w:b/>
          <w:sz w:val="24"/>
        </w:rPr>
        <w:t>January 2014</w:t>
      </w:r>
    </w:p>
    <w:p w:rsidR="00CF3015" w:rsidRDefault="00CF3015">
      <w:pPr>
        <w:rPr>
          <w:sz w:val="24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F3015" w:rsidRPr="00765572" w:rsidTr="00765572">
        <w:trPr>
          <w:trHeight w:val="1655"/>
        </w:trPr>
        <w:tc>
          <w:tcPr>
            <w:tcW w:w="9468" w:type="dxa"/>
            <w:hideMark/>
          </w:tcPr>
          <w:p w:rsidR="00CF3015" w:rsidRPr="00765572" w:rsidRDefault="00CF3015">
            <w:pPr>
              <w:rPr>
                <w:sz w:val="24"/>
              </w:rPr>
            </w:pPr>
            <w:r w:rsidRPr="00765572">
              <w:rPr>
                <w:sz w:val="24"/>
              </w:rPr>
              <w:t>Alice Horowitz, RDH, MA, PhD</w:t>
            </w:r>
            <w:r w:rsidRPr="00765572">
              <w:rPr>
                <w:sz w:val="24"/>
              </w:rPr>
              <w:br/>
              <w:t>Chair</w:t>
            </w:r>
          </w:p>
          <w:p w:rsidR="00CF3015" w:rsidRPr="00765572" w:rsidRDefault="00CF3015">
            <w:pPr>
              <w:rPr>
                <w:sz w:val="24"/>
              </w:rPr>
            </w:pPr>
            <w:r w:rsidRPr="00765572">
              <w:rPr>
                <w:sz w:val="24"/>
              </w:rPr>
              <w:t>Research Associate Professor</w:t>
            </w:r>
            <w:r w:rsidRPr="00765572">
              <w:rPr>
                <w:sz w:val="24"/>
              </w:rPr>
              <w:br/>
              <w:t xml:space="preserve">School of Public Health </w:t>
            </w:r>
          </w:p>
          <w:p w:rsidR="00CF3015" w:rsidRPr="00765572" w:rsidRDefault="00CF3015">
            <w:pPr>
              <w:rPr>
                <w:sz w:val="24"/>
              </w:rPr>
            </w:pPr>
            <w:r w:rsidRPr="00765572">
              <w:rPr>
                <w:sz w:val="24"/>
              </w:rPr>
              <w:t>University of Maryland</w:t>
            </w:r>
          </w:p>
          <w:p w:rsidR="00CF3015" w:rsidRPr="00765572" w:rsidRDefault="00CF3015">
            <w:pPr>
              <w:rPr>
                <w:sz w:val="24"/>
              </w:rPr>
            </w:pPr>
            <w:r w:rsidRPr="00765572">
              <w:rPr>
                <w:sz w:val="24"/>
              </w:rPr>
              <w:t>Herschel S. Horowitz Center for Health Literacy</w:t>
            </w:r>
          </w:p>
          <w:p w:rsidR="00CF3015" w:rsidRPr="00765572" w:rsidRDefault="00CF3015">
            <w:pPr>
              <w:rPr>
                <w:sz w:val="24"/>
              </w:rPr>
            </w:pPr>
            <w:r w:rsidRPr="00765572">
              <w:rPr>
                <w:sz w:val="24"/>
              </w:rPr>
              <w:t>Silver Spring, MD</w:t>
            </w:r>
          </w:p>
        </w:tc>
      </w:tr>
      <w:tr w:rsidR="00CF3015" w:rsidRPr="00765572" w:rsidTr="00765572">
        <w:trPr>
          <w:trHeight w:val="809"/>
        </w:trPr>
        <w:tc>
          <w:tcPr>
            <w:tcW w:w="9468" w:type="dxa"/>
            <w:noWrap/>
            <w:hideMark/>
          </w:tcPr>
          <w:p w:rsidR="00CF3015" w:rsidRPr="00765572" w:rsidRDefault="00CF3015">
            <w:pPr>
              <w:rPr>
                <w:sz w:val="24"/>
              </w:rPr>
            </w:pPr>
          </w:p>
          <w:p w:rsidR="00CF3015" w:rsidRPr="00765572" w:rsidRDefault="00CF3015">
            <w:pPr>
              <w:rPr>
                <w:sz w:val="24"/>
              </w:rPr>
            </w:pPr>
            <w:r w:rsidRPr="00765572">
              <w:rPr>
                <w:sz w:val="24"/>
              </w:rPr>
              <w:t>Patricia Bell-McDuffie, DDS</w:t>
            </w:r>
          </w:p>
          <w:p w:rsidR="00CF3015" w:rsidRPr="00765572" w:rsidRDefault="00CF3015">
            <w:pPr>
              <w:rPr>
                <w:sz w:val="24"/>
              </w:rPr>
            </w:pPr>
            <w:r w:rsidRPr="00765572">
              <w:rPr>
                <w:sz w:val="24"/>
              </w:rPr>
              <w:t xml:space="preserve">Director Oral Health Services, </w:t>
            </w:r>
          </w:p>
          <w:p w:rsidR="00CF3015" w:rsidRPr="00765572" w:rsidRDefault="00CF3015">
            <w:pPr>
              <w:rPr>
                <w:sz w:val="24"/>
              </w:rPr>
            </w:pPr>
            <w:r w:rsidRPr="00765572">
              <w:rPr>
                <w:sz w:val="24"/>
              </w:rPr>
              <w:t xml:space="preserve">Baltimore City Health Department, </w:t>
            </w:r>
          </w:p>
          <w:p w:rsidR="00CF3015" w:rsidRPr="00765572" w:rsidRDefault="00CF3015">
            <w:pPr>
              <w:rPr>
                <w:sz w:val="24"/>
              </w:rPr>
            </w:pPr>
            <w:r w:rsidRPr="00765572">
              <w:rPr>
                <w:sz w:val="24"/>
              </w:rPr>
              <w:t>Baltimore, MD</w:t>
            </w:r>
          </w:p>
        </w:tc>
      </w:tr>
      <w:tr w:rsidR="00CF3015" w:rsidRPr="00765572" w:rsidTr="00765572">
        <w:trPr>
          <w:trHeight w:val="900"/>
        </w:trPr>
        <w:tc>
          <w:tcPr>
            <w:tcW w:w="9468" w:type="dxa"/>
            <w:hideMark/>
          </w:tcPr>
          <w:p w:rsidR="00CF3015" w:rsidRPr="00765572" w:rsidRDefault="00CF3015">
            <w:pPr>
              <w:rPr>
                <w:sz w:val="24"/>
              </w:rPr>
            </w:pPr>
          </w:p>
          <w:p w:rsidR="00CF3015" w:rsidRPr="00765572" w:rsidRDefault="00CF3015">
            <w:pPr>
              <w:rPr>
                <w:sz w:val="24"/>
              </w:rPr>
            </w:pPr>
            <w:r w:rsidRPr="00765572">
              <w:rPr>
                <w:sz w:val="24"/>
              </w:rPr>
              <w:t>Harry Goodman, DMD, MPH</w:t>
            </w:r>
          </w:p>
          <w:p w:rsidR="00CF3015" w:rsidRPr="00765572" w:rsidRDefault="00CF3015">
            <w:pPr>
              <w:rPr>
                <w:sz w:val="24"/>
              </w:rPr>
            </w:pPr>
            <w:r w:rsidRPr="00765572">
              <w:rPr>
                <w:sz w:val="24"/>
              </w:rPr>
              <w:t xml:space="preserve">Director of the Office of Oral Health, </w:t>
            </w:r>
          </w:p>
          <w:p w:rsidR="00CF3015" w:rsidRPr="00765572" w:rsidRDefault="00CF3015">
            <w:pPr>
              <w:rPr>
                <w:sz w:val="24"/>
              </w:rPr>
            </w:pPr>
            <w:r w:rsidRPr="00765572">
              <w:rPr>
                <w:sz w:val="24"/>
              </w:rPr>
              <w:t>Department of Health and Mental Hygiene (DHMH)</w:t>
            </w:r>
          </w:p>
          <w:p w:rsidR="00CF3015" w:rsidRPr="00765572" w:rsidRDefault="00CF3015" w:rsidP="00640DD8">
            <w:pPr>
              <w:rPr>
                <w:sz w:val="24"/>
              </w:rPr>
            </w:pPr>
            <w:r w:rsidRPr="00765572">
              <w:rPr>
                <w:sz w:val="24"/>
              </w:rPr>
              <w:t xml:space="preserve">Baltimore, MD  </w:t>
            </w:r>
          </w:p>
        </w:tc>
      </w:tr>
      <w:tr w:rsidR="00CF3015" w:rsidRPr="00765572" w:rsidTr="00765572">
        <w:trPr>
          <w:trHeight w:val="1457"/>
        </w:trPr>
        <w:tc>
          <w:tcPr>
            <w:tcW w:w="9468" w:type="dxa"/>
            <w:noWrap/>
            <w:hideMark/>
          </w:tcPr>
          <w:p w:rsidR="00CF3015" w:rsidRPr="00765572" w:rsidRDefault="00CF3015">
            <w:pPr>
              <w:rPr>
                <w:sz w:val="24"/>
              </w:rPr>
            </w:pPr>
          </w:p>
          <w:p w:rsidR="00CF3015" w:rsidRPr="00765572" w:rsidRDefault="00CF3015">
            <w:pPr>
              <w:rPr>
                <w:sz w:val="24"/>
              </w:rPr>
            </w:pPr>
            <w:r w:rsidRPr="00765572">
              <w:rPr>
                <w:sz w:val="24"/>
              </w:rPr>
              <w:t xml:space="preserve">Robert </w:t>
            </w:r>
            <w:proofErr w:type="spellStart"/>
            <w:r w:rsidRPr="00765572">
              <w:rPr>
                <w:sz w:val="24"/>
              </w:rPr>
              <w:t>Ord</w:t>
            </w:r>
            <w:proofErr w:type="spellEnd"/>
            <w:r w:rsidRPr="00765572">
              <w:rPr>
                <w:sz w:val="24"/>
              </w:rPr>
              <w:t>, DDS, MD, FRCS, FACS</w:t>
            </w:r>
          </w:p>
          <w:p w:rsidR="00CF3015" w:rsidRPr="00765572" w:rsidRDefault="00CF3015">
            <w:pPr>
              <w:rPr>
                <w:sz w:val="24"/>
              </w:rPr>
            </w:pPr>
            <w:r w:rsidRPr="00765572">
              <w:rPr>
                <w:sz w:val="24"/>
              </w:rPr>
              <w:t>Professor and Chair</w:t>
            </w:r>
            <w:r w:rsidRPr="00765572">
              <w:rPr>
                <w:sz w:val="24"/>
              </w:rPr>
              <w:br/>
              <w:t xml:space="preserve">Oral and Maxillofacial Surgery, </w:t>
            </w:r>
          </w:p>
          <w:p w:rsidR="00CF3015" w:rsidRPr="00765572" w:rsidRDefault="00CF3015">
            <w:pPr>
              <w:rPr>
                <w:sz w:val="24"/>
              </w:rPr>
            </w:pPr>
            <w:r w:rsidRPr="00765572">
              <w:rPr>
                <w:sz w:val="24"/>
              </w:rPr>
              <w:t>University of Maryland School of Medicine</w:t>
            </w:r>
          </w:p>
          <w:p w:rsidR="00CF3015" w:rsidRPr="00765572" w:rsidRDefault="00CF3015">
            <w:pPr>
              <w:rPr>
                <w:sz w:val="24"/>
              </w:rPr>
            </w:pPr>
            <w:r w:rsidRPr="00765572">
              <w:rPr>
                <w:sz w:val="24"/>
              </w:rPr>
              <w:t>Baltimore, MD</w:t>
            </w:r>
          </w:p>
        </w:tc>
      </w:tr>
      <w:tr w:rsidR="00CF3015" w:rsidRPr="00765572" w:rsidTr="00765572">
        <w:trPr>
          <w:trHeight w:val="1790"/>
        </w:trPr>
        <w:tc>
          <w:tcPr>
            <w:tcW w:w="9468" w:type="dxa"/>
            <w:noWrap/>
            <w:hideMark/>
          </w:tcPr>
          <w:p w:rsidR="00CF3015" w:rsidRPr="00765572" w:rsidRDefault="00CF3015">
            <w:pPr>
              <w:rPr>
                <w:sz w:val="24"/>
              </w:rPr>
            </w:pPr>
          </w:p>
          <w:p w:rsidR="00CF3015" w:rsidRPr="00765572" w:rsidRDefault="00CF3015">
            <w:pPr>
              <w:rPr>
                <w:sz w:val="24"/>
              </w:rPr>
            </w:pPr>
            <w:r w:rsidRPr="00765572">
              <w:rPr>
                <w:sz w:val="24"/>
              </w:rPr>
              <w:t>Britt C. Reid, DDS, PhD</w:t>
            </w:r>
          </w:p>
          <w:p w:rsidR="00CF3015" w:rsidRPr="00765572" w:rsidRDefault="00CF3015" w:rsidP="00640DD8">
            <w:pPr>
              <w:rPr>
                <w:sz w:val="24"/>
              </w:rPr>
            </w:pPr>
            <w:r w:rsidRPr="00765572">
              <w:rPr>
                <w:sz w:val="24"/>
              </w:rPr>
              <w:t>Chief, Modifiable Risk Factors Branch</w:t>
            </w:r>
            <w:r w:rsidRPr="00765572">
              <w:rPr>
                <w:sz w:val="24"/>
              </w:rPr>
              <w:br/>
              <w:t>Epidemiology and Genomics Research Program</w:t>
            </w:r>
            <w:r w:rsidRPr="00765572">
              <w:rPr>
                <w:sz w:val="24"/>
              </w:rPr>
              <w:br/>
              <w:t>Division of Cancer Control and Population Sciences</w:t>
            </w:r>
            <w:r w:rsidRPr="00765572">
              <w:rPr>
                <w:sz w:val="24"/>
              </w:rPr>
              <w:br/>
              <w:t>National Cancer Institute</w:t>
            </w:r>
            <w:r w:rsidRPr="00765572">
              <w:rPr>
                <w:sz w:val="24"/>
              </w:rPr>
              <w:br/>
              <w:t>Bethesda MD</w:t>
            </w:r>
          </w:p>
        </w:tc>
      </w:tr>
      <w:tr w:rsidR="00CF3015" w:rsidRPr="00765572" w:rsidTr="00765572">
        <w:trPr>
          <w:trHeight w:val="1421"/>
        </w:trPr>
        <w:tc>
          <w:tcPr>
            <w:tcW w:w="9468" w:type="dxa"/>
            <w:noWrap/>
            <w:hideMark/>
          </w:tcPr>
          <w:p w:rsidR="00CF3015" w:rsidRPr="00765572" w:rsidRDefault="00CF3015">
            <w:pPr>
              <w:rPr>
                <w:sz w:val="24"/>
              </w:rPr>
            </w:pPr>
          </w:p>
          <w:p w:rsidR="00CF3015" w:rsidRPr="00765572" w:rsidRDefault="00CF3015">
            <w:pPr>
              <w:rPr>
                <w:sz w:val="24"/>
              </w:rPr>
            </w:pPr>
            <w:r w:rsidRPr="00765572">
              <w:rPr>
                <w:sz w:val="24"/>
              </w:rPr>
              <w:t xml:space="preserve">Catherine </w:t>
            </w:r>
            <w:proofErr w:type="spellStart"/>
            <w:r w:rsidRPr="00765572">
              <w:rPr>
                <w:sz w:val="24"/>
              </w:rPr>
              <w:t>Maybury</w:t>
            </w:r>
            <w:proofErr w:type="spellEnd"/>
            <w:r w:rsidRPr="00765572">
              <w:rPr>
                <w:sz w:val="24"/>
              </w:rPr>
              <w:t>, MPH</w:t>
            </w:r>
          </w:p>
          <w:p w:rsidR="00CF3015" w:rsidRPr="00765572" w:rsidRDefault="00CF3015" w:rsidP="00640DD8">
            <w:pPr>
              <w:rPr>
                <w:sz w:val="24"/>
              </w:rPr>
            </w:pPr>
            <w:r w:rsidRPr="00765572">
              <w:rPr>
                <w:sz w:val="24"/>
              </w:rPr>
              <w:t>Faculty Research Assistant</w:t>
            </w:r>
            <w:r w:rsidRPr="00765572">
              <w:rPr>
                <w:sz w:val="24"/>
              </w:rPr>
              <w:br/>
              <w:t>School of Public Health, University of Maryland</w:t>
            </w:r>
          </w:p>
          <w:p w:rsidR="00CF3015" w:rsidRPr="00765572" w:rsidRDefault="00CF3015" w:rsidP="00640DD8">
            <w:pPr>
              <w:rPr>
                <w:sz w:val="24"/>
              </w:rPr>
            </w:pPr>
            <w:r w:rsidRPr="00765572">
              <w:rPr>
                <w:sz w:val="24"/>
              </w:rPr>
              <w:t>Herschel S. Horowitz Center for Health Literacy</w:t>
            </w:r>
            <w:r w:rsidRPr="00765572">
              <w:rPr>
                <w:sz w:val="24"/>
              </w:rPr>
              <w:br/>
              <w:t>Silver Spring, MD</w:t>
            </w:r>
          </w:p>
        </w:tc>
      </w:tr>
      <w:tr w:rsidR="00CF3015" w:rsidRPr="00765572" w:rsidTr="00765572">
        <w:trPr>
          <w:trHeight w:val="300"/>
        </w:trPr>
        <w:tc>
          <w:tcPr>
            <w:tcW w:w="9468" w:type="dxa"/>
            <w:hideMark/>
          </w:tcPr>
          <w:p w:rsidR="00CF3015" w:rsidRPr="00765572" w:rsidRDefault="00CF3015">
            <w:pPr>
              <w:rPr>
                <w:b/>
                <w:sz w:val="24"/>
              </w:rPr>
            </w:pPr>
          </w:p>
          <w:p w:rsidR="00CF3015" w:rsidRPr="00765572" w:rsidRDefault="00CF3015">
            <w:pPr>
              <w:rPr>
                <w:b/>
                <w:sz w:val="24"/>
              </w:rPr>
            </w:pPr>
            <w:r w:rsidRPr="00765572">
              <w:rPr>
                <w:b/>
                <w:sz w:val="24"/>
              </w:rPr>
              <w:t>DHMH Staff</w:t>
            </w:r>
          </w:p>
        </w:tc>
      </w:tr>
      <w:tr w:rsidR="00CF3015" w:rsidRPr="00765572" w:rsidTr="00765572">
        <w:trPr>
          <w:trHeight w:val="305"/>
        </w:trPr>
        <w:tc>
          <w:tcPr>
            <w:tcW w:w="9468" w:type="dxa"/>
            <w:hideMark/>
          </w:tcPr>
          <w:p w:rsidR="00CF3015" w:rsidRPr="00765572" w:rsidRDefault="00CF3015">
            <w:pPr>
              <w:rPr>
                <w:sz w:val="24"/>
              </w:rPr>
            </w:pPr>
            <w:r w:rsidRPr="00765572">
              <w:rPr>
                <w:sz w:val="24"/>
              </w:rPr>
              <w:t>Diane Dwyer, MD, CCPC Medical Director</w:t>
            </w:r>
            <w:r w:rsidR="003031A0">
              <w:rPr>
                <w:sz w:val="24"/>
              </w:rPr>
              <w:t xml:space="preserve"> (until December 1, 2013)</w:t>
            </w:r>
          </w:p>
        </w:tc>
      </w:tr>
      <w:tr w:rsidR="00CF3015" w:rsidRPr="00765572" w:rsidTr="00765572">
        <w:trPr>
          <w:trHeight w:val="323"/>
        </w:trPr>
        <w:tc>
          <w:tcPr>
            <w:tcW w:w="9468" w:type="dxa"/>
            <w:hideMark/>
          </w:tcPr>
          <w:p w:rsidR="00CF3015" w:rsidRPr="00765572" w:rsidRDefault="00CF3015" w:rsidP="000D1BB7">
            <w:pPr>
              <w:rPr>
                <w:sz w:val="24"/>
              </w:rPr>
            </w:pPr>
            <w:r w:rsidRPr="00765572">
              <w:rPr>
                <w:sz w:val="24"/>
              </w:rPr>
              <w:t xml:space="preserve">Barbara Andrews, </w:t>
            </w:r>
            <w:proofErr w:type="spellStart"/>
            <w:r w:rsidRPr="00765572">
              <w:rPr>
                <w:sz w:val="24"/>
              </w:rPr>
              <w:t>MSEd</w:t>
            </w:r>
            <w:proofErr w:type="spellEnd"/>
            <w:r w:rsidRPr="00765572">
              <w:rPr>
                <w:sz w:val="24"/>
              </w:rPr>
              <w:t xml:space="preserve">, Program Manager, Cigarette Restitution Fund Program </w:t>
            </w:r>
            <w:r>
              <w:rPr>
                <w:sz w:val="24"/>
              </w:rPr>
              <w:t xml:space="preserve">(CRFP) </w:t>
            </w:r>
            <w:r w:rsidRPr="00765572">
              <w:rPr>
                <w:sz w:val="24"/>
              </w:rPr>
              <w:t>Unit</w:t>
            </w:r>
            <w:r>
              <w:rPr>
                <w:sz w:val="24"/>
              </w:rPr>
              <w:t xml:space="preserve"> </w:t>
            </w:r>
          </w:p>
        </w:tc>
      </w:tr>
      <w:tr w:rsidR="00CF3015" w:rsidRPr="00765572" w:rsidTr="00765572">
        <w:trPr>
          <w:trHeight w:val="368"/>
        </w:trPr>
        <w:tc>
          <w:tcPr>
            <w:tcW w:w="9468" w:type="dxa"/>
            <w:hideMark/>
          </w:tcPr>
          <w:p w:rsidR="00CF3015" w:rsidRDefault="00CF3015">
            <w:pPr>
              <w:rPr>
                <w:sz w:val="24"/>
              </w:rPr>
            </w:pPr>
            <w:r w:rsidRPr="00765572">
              <w:rPr>
                <w:sz w:val="24"/>
              </w:rPr>
              <w:t xml:space="preserve">Sarah </w:t>
            </w:r>
            <w:proofErr w:type="spellStart"/>
            <w:r w:rsidRPr="00765572">
              <w:rPr>
                <w:sz w:val="24"/>
              </w:rPr>
              <w:t>Conolly</w:t>
            </w:r>
            <w:proofErr w:type="spellEnd"/>
            <w:r w:rsidRPr="00765572">
              <w:rPr>
                <w:sz w:val="24"/>
              </w:rPr>
              <w:t xml:space="preserve"> </w:t>
            </w:r>
            <w:proofErr w:type="spellStart"/>
            <w:r w:rsidRPr="00765572">
              <w:rPr>
                <w:sz w:val="24"/>
              </w:rPr>
              <w:t>Hokenmaier</w:t>
            </w:r>
            <w:proofErr w:type="spellEnd"/>
            <w:r w:rsidRPr="00765572">
              <w:rPr>
                <w:sz w:val="24"/>
              </w:rPr>
              <w:t>, MPA, Deputy Director CCPC</w:t>
            </w:r>
          </w:p>
          <w:p w:rsidR="00CF3015" w:rsidRPr="00765572" w:rsidRDefault="00CF3015">
            <w:pPr>
              <w:rPr>
                <w:sz w:val="24"/>
              </w:rPr>
            </w:pPr>
            <w:r>
              <w:rPr>
                <w:sz w:val="24"/>
              </w:rPr>
              <w:t>Kathleen O’Connor, Nurse Consultant, CRFP Unit</w:t>
            </w:r>
          </w:p>
        </w:tc>
      </w:tr>
    </w:tbl>
    <w:p w:rsidR="00CF3015" w:rsidRDefault="00CF3015">
      <w:pPr>
        <w:ind w:left="1080"/>
        <w:rPr>
          <w:sz w:val="24"/>
        </w:rPr>
      </w:pPr>
    </w:p>
    <w:sectPr w:rsidR="00CF3015" w:rsidSect="00CE10F7">
      <w:footerReference w:type="default" r:id="rId19"/>
      <w:pgSz w:w="12240" w:h="15840"/>
      <w:pgMar w:top="1152" w:right="1152" w:bottom="1152" w:left="129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C35" w:rsidRDefault="00F25C35">
      <w:r>
        <w:separator/>
      </w:r>
    </w:p>
  </w:endnote>
  <w:endnote w:type="continuationSeparator" w:id="0">
    <w:p w:rsidR="00F25C35" w:rsidRDefault="00F2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4F5" w:rsidRDefault="00DF74F5">
    <w:pPr>
      <w:pStyle w:val="Footer"/>
    </w:pPr>
    <w:r>
      <w:t>CCPC HO Memo 1</w:t>
    </w:r>
    <w:r w:rsidR="00DF287D">
      <w:t>4</w:t>
    </w:r>
    <w:r>
      <w:t>-</w:t>
    </w:r>
    <w:r w:rsidR="00DF287D">
      <w:t>03</w:t>
    </w:r>
    <w:r>
      <w:t xml:space="preserve"> </w:t>
    </w:r>
    <w:r w:rsidR="00DF287D">
      <w:t>Att2-</w:t>
    </w:r>
    <w:r>
      <w:t>Oral</w:t>
    </w:r>
    <w:r w:rsidR="00DF287D">
      <w:t xml:space="preserve"> Cancer</w:t>
    </w:r>
    <w:r>
      <w:t xml:space="preserve"> Minimal Elements</w:t>
    </w:r>
    <w:r w:rsidR="00DF287D">
      <w:t>-2014-01-13</w:t>
    </w:r>
    <w:r>
      <w:t xml:space="preserve">   </w:t>
    </w:r>
    <w:r>
      <w:tab/>
      <w:t xml:space="preserve">Page </w:t>
    </w:r>
    <w:r w:rsidR="007A3A9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A3A96">
      <w:rPr>
        <w:rStyle w:val="PageNumber"/>
      </w:rPr>
      <w:fldChar w:fldCharType="separate"/>
    </w:r>
    <w:r w:rsidR="004B62C5">
      <w:rPr>
        <w:rStyle w:val="PageNumber"/>
        <w:noProof/>
      </w:rPr>
      <w:t>1</w:t>
    </w:r>
    <w:r w:rsidR="007A3A9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C35" w:rsidRDefault="00F25C35">
      <w:r>
        <w:separator/>
      </w:r>
    </w:p>
  </w:footnote>
  <w:footnote w:type="continuationSeparator" w:id="0">
    <w:p w:rsidR="00F25C35" w:rsidRDefault="00F25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2C3B"/>
    <w:multiLevelType w:val="hybridMultilevel"/>
    <w:tmpl w:val="2452B2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7FC6D6C"/>
    <w:multiLevelType w:val="hybridMultilevel"/>
    <w:tmpl w:val="0ABE87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43BEA"/>
    <w:multiLevelType w:val="hybridMultilevel"/>
    <w:tmpl w:val="9AA66C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9553ECD"/>
    <w:multiLevelType w:val="hybridMultilevel"/>
    <w:tmpl w:val="10DE8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4C3006"/>
    <w:multiLevelType w:val="hybridMultilevel"/>
    <w:tmpl w:val="0B5C3F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0B557F4A"/>
    <w:multiLevelType w:val="hybridMultilevel"/>
    <w:tmpl w:val="3D84484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864D91"/>
    <w:multiLevelType w:val="hybridMultilevel"/>
    <w:tmpl w:val="0F8486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EB58FF"/>
    <w:multiLevelType w:val="hybridMultilevel"/>
    <w:tmpl w:val="059463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1310FE"/>
    <w:multiLevelType w:val="hybridMultilevel"/>
    <w:tmpl w:val="2188DADC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56"/>
      </w:rPr>
    </w:lvl>
    <w:lvl w:ilvl="2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20EE0476"/>
    <w:multiLevelType w:val="hybridMultilevel"/>
    <w:tmpl w:val="A5E4B05A"/>
    <w:lvl w:ilvl="0" w:tplc="D53016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307C8"/>
    <w:multiLevelType w:val="hybridMultilevel"/>
    <w:tmpl w:val="79A8BA1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28601E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B866871"/>
    <w:multiLevelType w:val="hybridMultilevel"/>
    <w:tmpl w:val="F4F4C480"/>
    <w:lvl w:ilvl="0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2F725776"/>
    <w:multiLevelType w:val="multilevel"/>
    <w:tmpl w:val="01128F02"/>
    <w:lvl w:ilvl="0">
      <w:start w:val="1"/>
      <w:numFmt w:val="none"/>
      <w:lvlText w:val="I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none"/>
      <w:lvlText w:val="i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none"/>
      <w:lvlText w:val="a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>
    <w:nsid w:val="333523EE"/>
    <w:multiLevelType w:val="hybridMultilevel"/>
    <w:tmpl w:val="190E98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3CC5B6D"/>
    <w:multiLevelType w:val="hybridMultilevel"/>
    <w:tmpl w:val="5290BD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5747354"/>
    <w:multiLevelType w:val="hybridMultilevel"/>
    <w:tmpl w:val="573E53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C057F5"/>
    <w:multiLevelType w:val="multilevel"/>
    <w:tmpl w:val="4648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0570FA"/>
    <w:multiLevelType w:val="hybridMultilevel"/>
    <w:tmpl w:val="0E1ED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54D31B2"/>
    <w:multiLevelType w:val="hybridMultilevel"/>
    <w:tmpl w:val="7C5A018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5A20597D"/>
    <w:multiLevelType w:val="hybridMultilevel"/>
    <w:tmpl w:val="AE6CEC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07F2629"/>
    <w:multiLevelType w:val="hybridMultilevel"/>
    <w:tmpl w:val="3FAC3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43099C"/>
    <w:multiLevelType w:val="hybridMultilevel"/>
    <w:tmpl w:val="9048C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35B6A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3690017"/>
    <w:multiLevelType w:val="hybridMultilevel"/>
    <w:tmpl w:val="B2DE8950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4934D4DC">
      <w:start w:val="2"/>
      <w:numFmt w:val="upperLetter"/>
      <w:lvlText w:val="%3."/>
      <w:lvlJc w:val="left"/>
      <w:pPr>
        <w:ind w:left="3420" w:hanging="360"/>
      </w:pPr>
      <w:rPr>
        <w:rFonts w:hint="default"/>
        <w:b w:val="0"/>
        <w:u w:val="none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>
    <w:nsid w:val="69727D7F"/>
    <w:multiLevelType w:val="hybridMultilevel"/>
    <w:tmpl w:val="2F321072"/>
    <w:lvl w:ilvl="0" w:tplc="D4881EDA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AA92CB2"/>
    <w:multiLevelType w:val="hybridMultilevel"/>
    <w:tmpl w:val="7C82294C"/>
    <w:lvl w:ilvl="0" w:tplc="A9C0DF7E">
      <w:start w:val="1"/>
      <w:numFmt w:val="lowerLetter"/>
      <w:lvlText w:val="%1."/>
      <w:lvlJc w:val="left"/>
      <w:pPr>
        <w:ind w:left="720" w:hanging="360"/>
      </w:pPr>
    </w:lvl>
    <w:lvl w:ilvl="1" w:tplc="D53016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62B43"/>
    <w:multiLevelType w:val="hybridMultilevel"/>
    <w:tmpl w:val="EDB24F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E860C7"/>
    <w:multiLevelType w:val="hybridMultilevel"/>
    <w:tmpl w:val="D69A8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03F15"/>
    <w:multiLevelType w:val="hybridMultilevel"/>
    <w:tmpl w:val="218A0544"/>
    <w:lvl w:ilvl="0" w:tplc="7792AA7E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42572C5"/>
    <w:multiLevelType w:val="singleLevel"/>
    <w:tmpl w:val="C5CA6B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53F4339"/>
    <w:multiLevelType w:val="hybridMultilevel"/>
    <w:tmpl w:val="6A584B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9422EB7"/>
    <w:multiLevelType w:val="multilevel"/>
    <w:tmpl w:val="1F6CF404"/>
    <w:lvl w:ilvl="0">
      <w:start w:val="1"/>
      <w:numFmt w:val="upperRoman"/>
      <w:pStyle w:val="Heading1"/>
      <w:lvlText w:val="%1."/>
      <w:lvlJc w:val="left"/>
      <w:pPr>
        <w:tabs>
          <w:tab w:val="num" w:pos="540"/>
        </w:tabs>
      </w:pPr>
      <w:rPr>
        <w:rFonts w:cs="Times New Roman" w:hint="default"/>
        <w:i w:val="0"/>
        <w:sz w:val="24"/>
        <w:szCs w:val="24"/>
      </w:rPr>
    </w:lvl>
    <w:lvl w:ilvl="1">
      <w:start w:val="2"/>
      <w:numFmt w:val="upperLetter"/>
      <w:pStyle w:val="Heading2"/>
      <w:lvlText w:val="%2."/>
      <w:lvlJc w:val="left"/>
      <w:pPr>
        <w:tabs>
          <w:tab w:val="num" w:pos="990"/>
        </w:tabs>
        <w:ind w:left="63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3">
    <w:nsid w:val="7AB555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C872423"/>
    <w:multiLevelType w:val="multilevel"/>
    <w:tmpl w:val="F1FE2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7CF774C9"/>
    <w:multiLevelType w:val="hybridMultilevel"/>
    <w:tmpl w:val="1C3C70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D237E4B"/>
    <w:multiLevelType w:val="hybridMultilevel"/>
    <w:tmpl w:val="C6006D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>
    <w:nsid w:val="7E607113"/>
    <w:multiLevelType w:val="hybridMultilevel"/>
    <w:tmpl w:val="343684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1"/>
  </w:num>
  <w:num w:numId="3">
    <w:abstractNumId w:val="23"/>
  </w:num>
  <w:num w:numId="4">
    <w:abstractNumId w:val="30"/>
  </w:num>
  <w:num w:numId="5">
    <w:abstractNumId w:val="13"/>
  </w:num>
  <w:num w:numId="6">
    <w:abstractNumId w:val="32"/>
  </w:num>
  <w:num w:numId="7">
    <w:abstractNumId w:val="24"/>
  </w:num>
  <w:num w:numId="8">
    <w:abstractNumId w:val="7"/>
  </w:num>
  <w:num w:numId="9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32"/>
    <w:lvlOverride w:ilvl="0">
      <w:startOverride w:val="1"/>
    </w:lvlOverride>
    <w:lvlOverride w:ilvl="1">
      <w:startOverride w:val="2"/>
    </w:lvlOverride>
  </w:num>
  <w:num w:numId="12">
    <w:abstractNumId w:val="16"/>
  </w:num>
  <w:num w:numId="13">
    <w:abstractNumId w:val="26"/>
  </w:num>
  <w:num w:numId="14">
    <w:abstractNumId w:val="37"/>
  </w:num>
  <w:num w:numId="15">
    <w:abstractNumId w:val="9"/>
  </w:num>
  <w:num w:numId="16">
    <w:abstractNumId w:val="28"/>
  </w:num>
  <w:num w:numId="17">
    <w:abstractNumId w:val="29"/>
  </w:num>
  <w:num w:numId="18">
    <w:abstractNumId w:val="2"/>
  </w:num>
  <w:num w:numId="19">
    <w:abstractNumId w:val="4"/>
  </w:num>
  <w:num w:numId="20">
    <w:abstractNumId w:val="36"/>
  </w:num>
  <w:num w:numId="21">
    <w:abstractNumId w:val="35"/>
  </w:num>
  <w:num w:numId="22">
    <w:abstractNumId w:val="15"/>
  </w:num>
  <w:num w:numId="23">
    <w:abstractNumId w:val="0"/>
  </w:num>
  <w:num w:numId="24">
    <w:abstractNumId w:val="20"/>
  </w:num>
  <w:num w:numId="25">
    <w:abstractNumId w:val="31"/>
  </w:num>
  <w:num w:numId="26">
    <w:abstractNumId w:val="8"/>
  </w:num>
  <w:num w:numId="27">
    <w:abstractNumId w:val="10"/>
  </w:num>
  <w:num w:numId="28">
    <w:abstractNumId w:val="12"/>
  </w:num>
  <w:num w:numId="29">
    <w:abstractNumId w:val="21"/>
  </w:num>
  <w:num w:numId="30">
    <w:abstractNumId w:val="22"/>
  </w:num>
  <w:num w:numId="31">
    <w:abstractNumId w:val="14"/>
  </w:num>
  <w:num w:numId="32">
    <w:abstractNumId w:val="18"/>
  </w:num>
  <w:num w:numId="33">
    <w:abstractNumId w:val="3"/>
  </w:num>
  <w:num w:numId="34">
    <w:abstractNumId w:val="34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9"/>
  </w:num>
  <w:num w:numId="50">
    <w:abstractNumId w:val="5"/>
  </w:num>
  <w:num w:numId="51">
    <w:abstractNumId w:val="25"/>
  </w:num>
  <w:num w:numId="52">
    <w:abstractNumId w:val="1"/>
  </w:num>
  <w:num w:numId="53">
    <w:abstractNumId w:val="27"/>
  </w:num>
  <w:num w:numId="54">
    <w:abstractNumId w:val="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32"/>
    <w:rsid w:val="00004193"/>
    <w:rsid w:val="00005F2D"/>
    <w:rsid w:val="00014AD7"/>
    <w:rsid w:val="000164EB"/>
    <w:rsid w:val="000210B3"/>
    <w:rsid w:val="000409FA"/>
    <w:rsid w:val="00040D9F"/>
    <w:rsid w:val="00044C8D"/>
    <w:rsid w:val="00045DFE"/>
    <w:rsid w:val="00051587"/>
    <w:rsid w:val="00081221"/>
    <w:rsid w:val="000A26D2"/>
    <w:rsid w:val="000B04FD"/>
    <w:rsid w:val="000B388A"/>
    <w:rsid w:val="000D1BB7"/>
    <w:rsid w:val="001106C5"/>
    <w:rsid w:val="00122E84"/>
    <w:rsid w:val="00173E50"/>
    <w:rsid w:val="001949A0"/>
    <w:rsid w:val="00196E93"/>
    <w:rsid w:val="001A51CE"/>
    <w:rsid w:val="001A61CE"/>
    <w:rsid w:val="001B060A"/>
    <w:rsid w:val="001D558F"/>
    <w:rsid w:val="001E416A"/>
    <w:rsid w:val="002129B0"/>
    <w:rsid w:val="00217826"/>
    <w:rsid w:val="00240C69"/>
    <w:rsid w:val="00245A32"/>
    <w:rsid w:val="002502A4"/>
    <w:rsid w:val="0025058D"/>
    <w:rsid w:val="00260A27"/>
    <w:rsid w:val="00261DCC"/>
    <w:rsid w:val="00272DE5"/>
    <w:rsid w:val="00284E20"/>
    <w:rsid w:val="00287F54"/>
    <w:rsid w:val="00291ED6"/>
    <w:rsid w:val="002966DF"/>
    <w:rsid w:val="002A6FCE"/>
    <w:rsid w:val="002B4D36"/>
    <w:rsid w:val="002B5849"/>
    <w:rsid w:val="002C3A6D"/>
    <w:rsid w:val="002C44D2"/>
    <w:rsid w:val="002E0122"/>
    <w:rsid w:val="002E67A3"/>
    <w:rsid w:val="002F698A"/>
    <w:rsid w:val="003031A0"/>
    <w:rsid w:val="00311CBF"/>
    <w:rsid w:val="003262FC"/>
    <w:rsid w:val="0032725F"/>
    <w:rsid w:val="00332D7F"/>
    <w:rsid w:val="003413CA"/>
    <w:rsid w:val="00346AE4"/>
    <w:rsid w:val="00347C95"/>
    <w:rsid w:val="003647C7"/>
    <w:rsid w:val="003657CE"/>
    <w:rsid w:val="003752D9"/>
    <w:rsid w:val="003763CB"/>
    <w:rsid w:val="00377415"/>
    <w:rsid w:val="003D73A5"/>
    <w:rsid w:val="003E04FB"/>
    <w:rsid w:val="003F6DDF"/>
    <w:rsid w:val="00401267"/>
    <w:rsid w:val="00402405"/>
    <w:rsid w:val="004458EC"/>
    <w:rsid w:val="00460045"/>
    <w:rsid w:val="00465290"/>
    <w:rsid w:val="00483C49"/>
    <w:rsid w:val="00487CA9"/>
    <w:rsid w:val="004B62C5"/>
    <w:rsid w:val="004C5744"/>
    <w:rsid w:val="004E2B27"/>
    <w:rsid w:val="004F122B"/>
    <w:rsid w:val="004F2D03"/>
    <w:rsid w:val="004F311F"/>
    <w:rsid w:val="00513825"/>
    <w:rsid w:val="00556091"/>
    <w:rsid w:val="00572443"/>
    <w:rsid w:val="00591AE3"/>
    <w:rsid w:val="0059749B"/>
    <w:rsid w:val="005C6AA4"/>
    <w:rsid w:val="005D7B01"/>
    <w:rsid w:val="005D7D90"/>
    <w:rsid w:val="005E4088"/>
    <w:rsid w:val="005F41A1"/>
    <w:rsid w:val="00600116"/>
    <w:rsid w:val="00616F38"/>
    <w:rsid w:val="00622DCA"/>
    <w:rsid w:val="00627A3C"/>
    <w:rsid w:val="00640DD8"/>
    <w:rsid w:val="00652BC7"/>
    <w:rsid w:val="00656575"/>
    <w:rsid w:val="00662BE6"/>
    <w:rsid w:val="00663FD3"/>
    <w:rsid w:val="006856BA"/>
    <w:rsid w:val="00693A8F"/>
    <w:rsid w:val="006A6542"/>
    <w:rsid w:val="006A66D1"/>
    <w:rsid w:val="006C6498"/>
    <w:rsid w:val="006D1DB3"/>
    <w:rsid w:val="006F0E4C"/>
    <w:rsid w:val="006F1092"/>
    <w:rsid w:val="00740C20"/>
    <w:rsid w:val="00746EEF"/>
    <w:rsid w:val="00764A36"/>
    <w:rsid w:val="00765572"/>
    <w:rsid w:val="00765AE2"/>
    <w:rsid w:val="00782B31"/>
    <w:rsid w:val="00793AB3"/>
    <w:rsid w:val="007A3A96"/>
    <w:rsid w:val="007A4D04"/>
    <w:rsid w:val="007A6677"/>
    <w:rsid w:val="007A6E5E"/>
    <w:rsid w:val="007B1DE9"/>
    <w:rsid w:val="007B3B86"/>
    <w:rsid w:val="007B7EDE"/>
    <w:rsid w:val="007D52C6"/>
    <w:rsid w:val="007E63C6"/>
    <w:rsid w:val="007E75D0"/>
    <w:rsid w:val="007F1C10"/>
    <w:rsid w:val="007F3E43"/>
    <w:rsid w:val="008069E1"/>
    <w:rsid w:val="00820915"/>
    <w:rsid w:val="00847CEC"/>
    <w:rsid w:val="00857049"/>
    <w:rsid w:val="008830B8"/>
    <w:rsid w:val="008B4B50"/>
    <w:rsid w:val="008C0E56"/>
    <w:rsid w:val="008C42A4"/>
    <w:rsid w:val="008C4D09"/>
    <w:rsid w:val="008C5D84"/>
    <w:rsid w:val="008E7023"/>
    <w:rsid w:val="008F1190"/>
    <w:rsid w:val="008F2FE3"/>
    <w:rsid w:val="00905D6F"/>
    <w:rsid w:val="00911294"/>
    <w:rsid w:val="009118E4"/>
    <w:rsid w:val="00913A75"/>
    <w:rsid w:val="0093492B"/>
    <w:rsid w:val="00935542"/>
    <w:rsid w:val="009551E9"/>
    <w:rsid w:val="0096154A"/>
    <w:rsid w:val="00962422"/>
    <w:rsid w:val="00975263"/>
    <w:rsid w:val="00982F2C"/>
    <w:rsid w:val="009B3E5F"/>
    <w:rsid w:val="009B745E"/>
    <w:rsid w:val="009B7DD7"/>
    <w:rsid w:val="009D59D5"/>
    <w:rsid w:val="009F0B40"/>
    <w:rsid w:val="009F2282"/>
    <w:rsid w:val="009F4CD6"/>
    <w:rsid w:val="009F6442"/>
    <w:rsid w:val="00A02603"/>
    <w:rsid w:val="00A0318E"/>
    <w:rsid w:val="00A21023"/>
    <w:rsid w:val="00A23563"/>
    <w:rsid w:val="00A3778D"/>
    <w:rsid w:val="00A4605D"/>
    <w:rsid w:val="00A51D04"/>
    <w:rsid w:val="00A51D24"/>
    <w:rsid w:val="00A73DFA"/>
    <w:rsid w:val="00A75F85"/>
    <w:rsid w:val="00AD37A5"/>
    <w:rsid w:val="00AE3F08"/>
    <w:rsid w:val="00AE51C9"/>
    <w:rsid w:val="00AF0185"/>
    <w:rsid w:val="00B07A3E"/>
    <w:rsid w:val="00B07B93"/>
    <w:rsid w:val="00B14BF6"/>
    <w:rsid w:val="00B161AC"/>
    <w:rsid w:val="00B33DC8"/>
    <w:rsid w:val="00B43EF4"/>
    <w:rsid w:val="00B72C7F"/>
    <w:rsid w:val="00B810CC"/>
    <w:rsid w:val="00BA1167"/>
    <w:rsid w:val="00BA389D"/>
    <w:rsid w:val="00BB05D9"/>
    <w:rsid w:val="00BB5483"/>
    <w:rsid w:val="00BB6415"/>
    <w:rsid w:val="00BD0538"/>
    <w:rsid w:val="00BD28C2"/>
    <w:rsid w:val="00BE02F0"/>
    <w:rsid w:val="00BE100E"/>
    <w:rsid w:val="00BF402B"/>
    <w:rsid w:val="00BF458E"/>
    <w:rsid w:val="00C1498B"/>
    <w:rsid w:val="00C26C62"/>
    <w:rsid w:val="00C3677F"/>
    <w:rsid w:val="00C83023"/>
    <w:rsid w:val="00CA1D2A"/>
    <w:rsid w:val="00CB7502"/>
    <w:rsid w:val="00CC41BC"/>
    <w:rsid w:val="00CD0C9D"/>
    <w:rsid w:val="00CD328E"/>
    <w:rsid w:val="00CD3C1F"/>
    <w:rsid w:val="00CE10F7"/>
    <w:rsid w:val="00CF3015"/>
    <w:rsid w:val="00D03654"/>
    <w:rsid w:val="00D23146"/>
    <w:rsid w:val="00D34574"/>
    <w:rsid w:val="00D42728"/>
    <w:rsid w:val="00D503A1"/>
    <w:rsid w:val="00D5113F"/>
    <w:rsid w:val="00D57CC5"/>
    <w:rsid w:val="00D65131"/>
    <w:rsid w:val="00D66F67"/>
    <w:rsid w:val="00D70F91"/>
    <w:rsid w:val="00D94CB6"/>
    <w:rsid w:val="00D96E1E"/>
    <w:rsid w:val="00DC589D"/>
    <w:rsid w:val="00DE4B20"/>
    <w:rsid w:val="00DF0748"/>
    <w:rsid w:val="00DF1548"/>
    <w:rsid w:val="00DF287D"/>
    <w:rsid w:val="00DF74F5"/>
    <w:rsid w:val="00E0290A"/>
    <w:rsid w:val="00E03A74"/>
    <w:rsid w:val="00E06241"/>
    <w:rsid w:val="00E06971"/>
    <w:rsid w:val="00E1385F"/>
    <w:rsid w:val="00E235BC"/>
    <w:rsid w:val="00E24615"/>
    <w:rsid w:val="00E56F86"/>
    <w:rsid w:val="00E840AE"/>
    <w:rsid w:val="00E851ED"/>
    <w:rsid w:val="00E86CC6"/>
    <w:rsid w:val="00EB7830"/>
    <w:rsid w:val="00EC06EC"/>
    <w:rsid w:val="00EE6C50"/>
    <w:rsid w:val="00EE7FCE"/>
    <w:rsid w:val="00F07221"/>
    <w:rsid w:val="00F1440A"/>
    <w:rsid w:val="00F20493"/>
    <w:rsid w:val="00F25C35"/>
    <w:rsid w:val="00F51CE6"/>
    <w:rsid w:val="00F52A06"/>
    <w:rsid w:val="00F54F5B"/>
    <w:rsid w:val="00F67922"/>
    <w:rsid w:val="00F818CB"/>
    <w:rsid w:val="00F820FA"/>
    <w:rsid w:val="00F82E0A"/>
    <w:rsid w:val="00F96A2F"/>
    <w:rsid w:val="00FB418C"/>
    <w:rsid w:val="00FD5725"/>
    <w:rsid w:val="00FE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4F5"/>
  </w:style>
  <w:style w:type="paragraph" w:styleId="Heading1">
    <w:name w:val="heading 1"/>
    <w:basedOn w:val="Normal"/>
    <w:next w:val="Normal"/>
    <w:link w:val="Heading1Char"/>
    <w:uiPriority w:val="9"/>
    <w:qFormat/>
    <w:rsid w:val="00847CEC"/>
    <w:pPr>
      <w:keepNext/>
      <w:numPr>
        <w:numId w:val="6"/>
      </w:numPr>
      <w:outlineLvl w:val="0"/>
    </w:pPr>
    <w:rPr>
      <w:i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7CEC"/>
    <w:pPr>
      <w:keepNext/>
      <w:numPr>
        <w:ilvl w:val="1"/>
        <w:numId w:val="6"/>
      </w:numPr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7CEC"/>
    <w:pPr>
      <w:keepNext/>
      <w:numPr>
        <w:ilvl w:val="2"/>
        <w:numId w:val="6"/>
      </w:numPr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7CEC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7CEC"/>
    <w:pPr>
      <w:keepNext/>
      <w:numPr>
        <w:ilvl w:val="4"/>
        <w:numId w:val="6"/>
      </w:numPr>
      <w:outlineLvl w:val="4"/>
    </w:pPr>
    <w:rPr>
      <w:sz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rsid w:val="00847CEC"/>
    <w:pPr>
      <w:keepNext/>
      <w:numPr>
        <w:ilvl w:val="5"/>
        <w:numId w:val="6"/>
      </w:numPr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847CEC"/>
    <w:pPr>
      <w:keepNext/>
      <w:numPr>
        <w:ilvl w:val="6"/>
        <w:numId w:val="6"/>
      </w:numPr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link w:val="Heading8Char"/>
    <w:uiPriority w:val="9"/>
    <w:qFormat/>
    <w:rsid w:val="00847CEC"/>
    <w:pPr>
      <w:keepNext/>
      <w:numPr>
        <w:ilvl w:val="7"/>
        <w:numId w:val="6"/>
      </w:numPr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847CEC"/>
    <w:pPr>
      <w:keepNext/>
      <w:numPr>
        <w:ilvl w:val="8"/>
        <w:numId w:val="6"/>
      </w:numPr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1385F"/>
    <w:rPr>
      <w:i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083C"/>
    <w:rPr>
      <w:b/>
      <w:sz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9083C"/>
    <w:rPr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83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9083C"/>
    <w:rPr>
      <w:sz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39083C"/>
    <w:rPr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39083C"/>
    <w:rPr>
      <w:b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39083C"/>
    <w:rPr>
      <w:sz w:val="24"/>
    </w:rPr>
  </w:style>
  <w:style w:type="character" w:customStyle="1" w:styleId="Heading9Char">
    <w:name w:val="Heading 9 Char"/>
    <w:basedOn w:val="DefaultParagraphFont"/>
    <w:link w:val="Heading9"/>
    <w:uiPriority w:val="9"/>
    <w:rsid w:val="0039083C"/>
    <w:rPr>
      <w:b/>
      <w:sz w:val="24"/>
    </w:rPr>
  </w:style>
  <w:style w:type="paragraph" w:styleId="BodyText">
    <w:name w:val="Body Text"/>
    <w:basedOn w:val="Normal"/>
    <w:link w:val="BodyTextChar"/>
    <w:uiPriority w:val="99"/>
    <w:semiHidden/>
    <w:rsid w:val="00847CEC"/>
    <w:rPr>
      <w:b/>
      <w:i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9083C"/>
  </w:style>
  <w:style w:type="paragraph" w:styleId="BodyTextIndent">
    <w:name w:val="Body Text Indent"/>
    <w:basedOn w:val="Normal"/>
    <w:link w:val="BodyTextIndentChar"/>
    <w:uiPriority w:val="99"/>
    <w:semiHidden/>
    <w:rsid w:val="00847CEC"/>
    <w:pPr>
      <w:ind w:left="720" w:hanging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083C"/>
  </w:style>
  <w:style w:type="paragraph" w:styleId="BodyTextIndent2">
    <w:name w:val="Body Text Indent 2"/>
    <w:basedOn w:val="Normal"/>
    <w:link w:val="BodyTextIndent2Char"/>
    <w:uiPriority w:val="99"/>
    <w:semiHidden/>
    <w:rsid w:val="00847CEC"/>
    <w:pPr>
      <w:tabs>
        <w:tab w:val="num" w:pos="2520"/>
      </w:tabs>
      <w:ind w:left="1440" w:hanging="72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083C"/>
  </w:style>
  <w:style w:type="paragraph" w:styleId="BodyTextIndent3">
    <w:name w:val="Body Text Indent 3"/>
    <w:basedOn w:val="Normal"/>
    <w:link w:val="BodyTextIndent3Char"/>
    <w:uiPriority w:val="99"/>
    <w:semiHidden/>
    <w:rsid w:val="00847CEC"/>
    <w:pPr>
      <w:tabs>
        <w:tab w:val="num" w:pos="2520"/>
      </w:tabs>
      <w:ind w:left="720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86CC6"/>
    <w:rPr>
      <w:sz w:val="24"/>
    </w:rPr>
  </w:style>
  <w:style w:type="paragraph" w:styleId="Header">
    <w:name w:val="header"/>
    <w:basedOn w:val="Normal"/>
    <w:link w:val="HeaderChar"/>
    <w:uiPriority w:val="99"/>
    <w:semiHidden/>
    <w:rsid w:val="00847C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083C"/>
  </w:style>
  <w:style w:type="paragraph" w:styleId="Footer">
    <w:name w:val="footer"/>
    <w:basedOn w:val="Normal"/>
    <w:link w:val="FooterChar"/>
    <w:uiPriority w:val="99"/>
    <w:semiHidden/>
    <w:rsid w:val="00847C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083C"/>
  </w:style>
  <w:style w:type="character" w:styleId="PageNumber">
    <w:name w:val="page number"/>
    <w:basedOn w:val="DefaultParagraphFont"/>
    <w:uiPriority w:val="99"/>
    <w:semiHidden/>
    <w:rsid w:val="00847CEC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847CEC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083C"/>
  </w:style>
  <w:style w:type="paragraph" w:styleId="BodyText3">
    <w:name w:val="Body Text 3"/>
    <w:basedOn w:val="Normal"/>
    <w:link w:val="BodyText3Char"/>
    <w:uiPriority w:val="99"/>
    <w:semiHidden/>
    <w:rsid w:val="00847CEC"/>
    <w:rPr>
      <w:b/>
      <w:bCs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083C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847CEC"/>
    <w:rPr>
      <w:color w:val="0000FF"/>
      <w:u w:val="single"/>
    </w:rPr>
  </w:style>
  <w:style w:type="character" w:customStyle="1" w:styleId="hyper1">
    <w:name w:val="hyper1"/>
    <w:rsid w:val="00847CEC"/>
    <w:rPr>
      <w:rFonts w:ascii="Verdana" w:hAnsi="Verdana"/>
      <w:color w:val="333333"/>
      <w:sz w:val="24"/>
    </w:rPr>
  </w:style>
  <w:style w:type="character" w:styleId="FollowedHyperlink">
    <w:name w:val="FollowedHyperlink"/>
    <w:basedOn w:val="DefaultParagraphFont"/>
    <w:uiPriority w:val="99"/>
    <w:semiHidden/>
    <w:rsid w:val="00847C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47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83C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081221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1221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8122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8122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E86CC6"/>
    <w:pPr>
      <w:ind w:left="720"/>
    </w:pPr>
  </w:style>
  <w:style w:type="table" w:styleId="TableGrid">
    <w:name w:val="Table Grid"/>
    <w:basedOn w:val="TableNormal"/>
    <w:uiPriority w:val="59"/>
    <w:rsid w:val="00E86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7B3B86"/>
  </w:style>
  <w:style w:type="character" w:customStyle="1" w:styleId="jrnl">
    <w:name w:val="jrnl"/>
    <w:basedOn w:val="DefaultParagraphFont"/>
    <w:rsid w:val="00487C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4F5"/>
  </w:style>
  <w:style w:type="paragraph" w:styleId="Heading1">
    <w:name w:val="heading 1"/>
    <w:basedOn w:val="Normal"/>
    <w:next w:val="Normal"/>
    <w:link w:val="Heading1Char"/>
    <w:uiPriority w:val="9"/>
    <w:qFormat/>
    <w:rsid w:val="00847CEC"/>
    <w:pPr>
      <w:keepNext/>
      <w:numPr>
        <w:numId w:val="6"/>
      </w:numPr>
      <w:outlineLvl w:val="0"/>
    </w:pPr>
    <w:rPr>
      <w:i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7CEC"/>
    <w:pPr>
      <w:keepNext/>
      <w:numPr>
        <w:ilvl w:val="1"/>
        <w:numId w:val="6"/>
      </w:numPr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7CEC"/>
    <w:pPr>
      <w:keepNext/>
      <w:numPr>
        <w:ilvl w:val="2"/>
        <w:numId w:val="6"/>
      </w:numPr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7CEC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7CEC"/>
    <w:pPr>
      <w:keepNext/>
      <w:numPr>
        <w:ilvl w:val="4"/>
        <w:numId w:val="6"/>
      </w:numPr>
      <w:outlineLvl w:val="4"/>
    </w:pPr>
    <w:rPr>
      <w:sz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rsid w:val="00847CEC"/>
    <w:pPr>
      <w:keepNext/>
      <w:numPr>
        <w:ilvl w:val="5"/>
        <w:numId w:val="6"/>
      </w:numPr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847CEC"/>
    <w:pPr>
      <w:keepNext/>
      <w:numPr>
        <w:ilvl w:val="6"/>
        <w:numId w:val="6"/>
      </w:numPr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link w:val="Heading8Char"/>
    <w:uiPriority w:val="9"/>
    <w:qFormat/>
    <w:rsid w:val="00847CEC"/>
    <w:pPr>
      <w:keepNext/>
      <w:numPr>
        <w:ilvl w:val="7"/>
        <w:numId w:val="6"/>
      </w:numPr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847CEC"/>
    <w:pPr>
      <w:keepNext/>
      <w:numPr>
        <w:ilvl w:val="8"/>
        <w:numId w:val="6"/>
      </w:numPr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1385F"/>
    <w:rPr>
      <w:i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083C"/>
    <w:rPr>
      <w:b/>
      <w:sz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9083C"/>
    <w:rPr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83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9083C"/>
    <w:rPr>
      <w:sz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39083C"/>
    <w:rPr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39083C"/>
    <w:rPr>
      <w:b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39083C"/>
    <w:rPr>
      <w:sz w:val="24"/>
    </w:rPr>
  </w:style>
  <w:style w:type="character" w:customStyle="1" w:styleId="Heading9Char">
    <w:name w:val="Heading 9 Char"/>
    <w:basedOn w:val="DefaultParagraphFont"/>
    <w:link w:val="Heading9"/>
    <w:uiPriority w:val="9"/>
    <w:rsid w:val="0039083C"/>
    <w:rPr>
      <w:b/>
      <w:sz w:val="24"/>
    </w:rPr>
  </w:style>
  <w:style w:type="paragraph" w:styleId="BodyText">
    <w:name w:val="Body Text"/>
    <w:basedOn w:val="Normal"/>
    <w:link w:val="BodyTextChar"/>
    <w:uiPriority w:val="99"/>
    <w:semiHidden/>
    <w:rsid w:val="00847CEC"/>
    <w:rPr>
      <w:b/>
      <w:i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9083C"/>
  </w:style>
  <w:style w:type="paragraph" w:styleId="BodyTextIndent">
    <w:name w:val="Body Text Indent"/>
    <w:basedOn w:val="Normal"/>
    <w:link w:val="BodyTextIndentChar"/>
    <w:uiPriority w:val="99"/>
    <w:semiHidden/>
    <w:rsid w:val="00847CEC"/>
    <w:pPr>
      <w:ind w:left="720" w:hanging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083C"/>
  </w:style>
  <w:style w:type="paragraph" w:styleId="BodyTextIndent2">
    <w:name w:val="Body Text Indent 2"/>
    <w:basedOn w:val="Normal"/>
    <w:link w:val="BodyTextIndent2Char"/>
    <w:uiPriority w:val="99"/>
    <w:semiHidden/>
    <w:rsid w:val="00847CEC"/>
    <w:pPr>
      <w:tabs>
        <w:tab w:val="num" w:pos="2520"/>
      </w:tabs>
      <w:ind w:left="1440" w:hanging="72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083C"/>
  </w:style>
  <w:style w:type="paragraph" w:styleId="BodyTextIndent3">
    <w:name w:val="Body Text Indent 3"/>
    <w:basedOn w:val="Normal"/>
    <w:link w:val="BodyTextIndent3Char"/>
    <w:uiPriority w:val="99"/>
    <w:semiHidden/>
    <w:rsid w:val="00847CEC"/>
    <w:pPr>
      <w:tabs>
        <w:tab w:val="num" w:pos="2520"/>
      </w:tabs>
      <w:ind w:left="720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86CC6"/>
    <w:rPr>
      <w:sz w:val="24"/>
    </w:rPr>
  </w:style>
  <w:style w:type="paragraph" w:styleId="Header">
    <w:name w:val="header"/>
    <w:basedOn w:val="Normal"/>
    <w:link w:val="HeaderChar"/>
    <w:uiPriority w:val="99"/>
    <w:semiHidden/>
    <w:rsid w:val="00847C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083C"/>
  </w:style>
  <w:style w:type="paragraph" w:styleId="Footer">
    <w:name w:val="footer"/>
    <w:basedOn w:val="Normal"/>
    <w:link w:val="FooterChar"/>
    <w:uiPriority w:val="99"/>
    <w:semiHidden/>
    <w:rsid w:val="00847C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083C"/>
  </w:style>
  <w:style w:type="character" w:styleId="PageNumber">
    <w:name w:val="page number"/>
    <w:basedOn w:val="DefaultParagraphFont"/>
    <w:uiPriority w:val="99"/>
    <w:semiHidden/>
    <w:rsid w:val="00847CEC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847CEC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083C"/>
  </w:style>
  <w:style w:type="paragraph" w:styleId="BodyText3">
    <w:name w:val="Body Text 3"/>
    <w:basedOn w:val="Normal"/>
    <w:link w:val="BodyText3Char"/>
    <w:uiPriority w:val="99"/>
    <w:semiHidden/>
    <w:rsid w:val="00847CEC"/>
    <w:rPr>
      <w:b/>
      <w:bCs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083C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847CEC"/>
    <w:rPr>
      <w:color w:val="0000FF"/>
      <w:u w:val="single"/>
    </w:rPr>
  </w:style>
  <w:style w:type="character" w:customStyle="1" w:styleId="hyper1">
    <w:name w:val="hyper1"/>
    <w:rsid w:val="00847CEC"/>
    <w:rPr>
      <w:rFonts w:ascii="Verdana" w:hAnsi="Verdana"/>
      <w:color w:val="333333"/>
      <w:sz w:val="24"/>
    </w:rPr>
  </w:style>
  <w:style w:type="character" w:styleId="FollowedHyperlink">
    <w:name w:val="FollowedHyperlink"/>
    <w:basedOn w:val="DefaultParagraphFont"/>
    <w:uiPriority w:val="99"/>
    <w:semiHidden/>
    <w:rsid w:val="00847C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47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83C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081221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1221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8122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8122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E86CC6"/>
    <w:pPr>
      <w:ind w:left="720"/>
    </w:pPr>
  </w:style>
  <w:style w:type="table" w:styleId="TableGrid">
    <w:name w:val="Table Grid"/>
    <w:basedOn w:val="TableNormal"/>
    <w:uiPriority w:val="59"/>
    <w:rsid w:val="00E86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7B3B86"/>
  </w:style>
  <w:style w:type="character" w:customStyle="1" w:styleId="jrnl">
    <w:name w:val="jrnl"/>
    <w:basedOn w:val="DefaultParagraphFont"/>
    <w:rsid w:val="00487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2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536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09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6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1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ncer.gov/cancertopics/pdq/prevention/oral/HealthProfessional" TargetMode="External"/><Relationship Id="rId18" Type="http://schemas.openxmlformats.org/officeDocument/2006/relationships/hyperlink" Target="http://www.cancer.gov/cancertopics/pdq/prevention/oral/Patient/page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ancer.gov/cancertopics/wyntk/oral" TargetMode="External"/><Relationship Id="rId17" Type="http://schemas.openxmlformats.org/officeDocument/2006/relationships/hyperlink" Target="http://ebd.ada.org/5907B_Oral_Cancer_Card(1)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spreventiveservicestaskforce.org/uspstf13/oralcan/oralcanfinalrec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idcr.nih.gov/OralHealth/Topics/OralCancer/TheOralCancerExam.htm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http://www.cancer.gov/cancertopics/factsheet/Risk/HPV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://www.cancer.gov/Common/PopUps/popDefinition.aspx?id=CDR0000045954&amp;version=Patient&amp;language=English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ancer.gov/cancertopics/wyntk/oral/" TargetMode="External"/><Relationship Id="rId14" Type="http://schemas.openxmlformats.org/officeDocument/2006/relationships/hyperlink" Target="http://www.dietandcancerreport.org/expert_report/report_contents/index.php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A4C5DE6BA1B4CB06D48563531CB20" ma:contentTypeVersion="69" ma:contentTypeDescription="Create a new document." ma:contentTypeScope="" ma:versionID="d41fc459f9dd36f1a9f224dff9e631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ed94a72f643dcbbfc163a330e527cd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2D379E-AB55-49F7-A73F-1D988CD8A343}"/>
</file>

<file path=customXml/itemProps2.xml><?xml version="1.0" encoding="utf-8"?>
<ds:datastoreItem xmlns:ds="http://schemas.openxmlformats.org/officeDocument/2006/customXml" ds:itemID="{A0A768EC-77EC-49F1-AB98-091CDDD03724}"/>
</file>

<file path=customXml/itemProps3.xml><?xml version="1.0" encoding="utf-8"?>
<ds:datastoreItem xmlns:ds="http://schemas.openxmlformats.org/officeDocument/2006/customXml" ds:itemID="{6D54DF55-9C30-4AC6-88C8-FB40E7B454A1}"/>
</file>

<file path=customXml/itemProps4.xml><?xml version="1.0" encoding="utf-8"?>
<ds:datastoreItem xmlns:ds="http://schemas.openxmlformats.org/officeDocument/2006/customXml" ds:itemID="{5AA528D3-494A-4677-80A5-C9D0EFC6E0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2442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Oral and Pharyngeal Cancer – Minimal Elements for Screening, Diagnosis, Treatment,  Follow-up and Care Coordination</vt:lpstr>
    </vt:vector>
  </TitlesOfParts>
  <Company>Fern Inc.</Company>
  <LinksUpToDate>false</LinksUpToDate>
  <CharactersWithSpaces>17712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and Pharyngeal Cancer – Minimal Elements for Screening, Diagnosis, Treatment,  Follow-up and Care Coordination</dc:title>
  <dc:creator>Harold Goodman</dc:creator>
  <cp:lastModifiedBy>Cynthia Walker</cp:lastModifiedBy>
  <cp:revision>2</cp:revision>
  <cp:lastPrinted>2014-01-14T14:34:00Z</cp:lastPrinted>
  <dcterms:created xsi:type="dcterms:W3CDTF">2014-01-14T14:34:00Z</dcterms:created>
  <dcterms:modified xsi:type="dcterms:W3CDTF">2014-01-14T14:34:00Z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0x010100B64A4C5DE6BA1B4CB06D48563531CB20</vt:lpwstr>
  </property>
  <property fmtid="{D5CDD505-2E9C-101B-9397-08002B2CF9AE}" pid="3" name="TemplateUrl">
    <vt:lpwstr/>
  </property>
  <property fmtid="{D5CDD505-2E9C-101B-9397-08002B2CF9AE}" pid="4" name="Order">
    <vt:r8>6600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