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756A" w14:textId="77777777" w:rsidR="00FB4278" w:rsidRPr="00DD5B16" w:rsidRDefault="00FB4278" w:rsidP="001F2E57">
      <w:pPr>
        <w:pStyle w:val="BodyText"/>
        <w:ind w:left="4200"/>
        <w:rPr>
          <w:rFonts w:ascii="Times New Roman"/>
          <w:sz w:val="20"/>
        </w:rPr>
      </w:pPr>
      <w:r w:rsidRPr="00DD5B16">
        <w:rPr>
          <w:rFonts w:ascii="Times New Roman"/>
          <w:noProof/>
          <w:sz w:val="20"/>
        </w:rPr>
        <w:drawing>
          <wp:inline distT="0" distB="0" distL="0" distR="0" wp14:anchorId="09BFB18F" wp14:editId="1A0B6DAE">
            <wp:extent cx="1321231" cy="980408"/>
            <wp:effectExtent l="0" t="0" r="0" b="0"/>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7" cstate="print"/>
                    <a:stretch>
                      <a:fillRect/>
                    </a:stretch>
                  </pic:blipFill>
                  <pic:spPr>
                    <a:xfrm>
                      <a:off x="0" y="0"/>
                      <a:ext cx="1321231" cy="980408"/>
                    </a:xfrm>
                    <a:prstGeom prst="rect">
                      <a:avLst/>
                    </a:prstGeom>
                  </pic:spPr>
                </pic:pic>
              </a:graphicData>
            </a:graphic>
          </wp:inline>
        </w:drawing>
      </w:r>
    </w:p>
    <w:p w14:paraId="601E4776" w14:textId="77777777" w:rsidR="00FB4278" w:rsidRPr="00DD5B16" w:rsidRDefault="00FB4278" w:rsidP="00FB4278">
      <w:pPr>
        <w:pStyle w:val="BodyText"/>
        <w:rPr>
          <w:rFonts w:ascii="Times New Roman"/>
          <w:sz w:val="15"/>
        </w:rPr>
      </w:pPr>
    </w:p>
    <w:p w14:paraId="04A85F8C" w14:textId="77777777" w:rsidR="00FB4278" w:rsidRPr="00DD5B16" w:rsidRDefault="00FB4278" w:rsidP="001F2E57">
      <w:pPr>
        <w:ind w:firstLine="6"/>
        <w:jc w:val="center"/>
        <w:rPr>
          <w:b/>
          <w:sz w:val="24"/>
        </w:rPr>
      </w:pPr>
      <w:r w:rsidRPr="00DD5B16">
        <w:rPr>
          <w:b/>
          <w:sz w:val="24"/>
        </w:rPr>
        <w:t>Office of Pharmacy Services Medicaid Pharmacy Program</w:t>
      </w:r>
    </w:p>
    <w:p w14:paraId="4A6643FE" w14:textId="79173214" w:rsidR="00FB4278" w:rsidRDefault="00FB4278" w:rsidP="001F2E57">
      <w:pPr>
        <w:jc w:val="center"/>
        <w:rPr>
          <w:b/>
          <w:sz w:val="24"/>
        </w:rPr>
      </w:pPr>
      <w:r w:rsidRPr="00DD5B16">
        <w:rPr>
          <w:b/>
          <w:sz w:val="24"/>
        </w:rPr>
        <w:t xml:space="preserve">Drug Utilization Review (DUR) </w:t>
      </w:r>
      <w:r>
        <w:rPr>
          <w:b/>
          <w:sz w:val="24"/>
        </w:rPr>
        <w:t>B</w:t>
      </w:r>
      <w:r w:rsidRPr="00DD5B16">
        <w:rPr>
          <w:b/>
          <w:sz w:val="24"/>
        </w:rPr>
        <w:t>oard</w:t>
      </w:r>
    </w:p>
    <w:p w14:paraId="504B41B6" w14:textId="32384103" w:rsidR="00FB4278" w:rsidRPr="00DD5B16" w:rsidRDefault="00FB4278" w:rsidP="001F2E57">
      <w:pPr>
        <w:jc w:val="center"/>
        <w:rPr>
          <w:b/>
          <w:sz w:val="24"/>
        </w:rPr>
      </w:pPr>
      <w:r w:rsidRPr="00DD5B16">
        <w:rPr>
          <w:b/>
          <w:sz w:val="24"/>
        </w:rPr>
        <w:t xml:space="preserve">Thursday, </w:t>
      </w:r>
      <w:r w:rsidR="00FB44B7">
        <w:rPr>
          <w:b/>
          <w:sz w:val="24"/>
        </w:rPr>
        <w:t>September</w:t>
      </w:r>
      <w:r w:rsidR="00346DEF">
        <w:rPr>
          <w:b/>
          <w:sz w:val="24"/>
        </w:rPr>
        <w:t xml:space="preserve"> </w:t>
      </w:r>
      <w:r w:rsidR="00FB44B7">
        <w:rPr>
          <w:b/>
          <w:sz w:val="24"/>
        </w:rPr>
        <w:t>1</w:t>
      </w:r>
      <w:r w:rsidRPr="00DD5B16">
        <w:rPr>
          <w:b/>
          <w:sz w:val="24"/>
        </w:rPr>
        <w:t>, 202</w:t>
      </w:r>
      <w:r>
        <w:rPr>
          <w:b/>
          <w:sz w:val="24"/>
        </w:rPr>
        <w:t>2</w:t>
      </w:r>
    </w:p>
    <w:p w14:paraId="7224C62B" w14:textId="09E92BB8" w:rsidR="00FB4278" w:rsidRPr="00DD5B16" w:rsidRDefault="00FB4278" w:rsidP="001F2E57">
      <w:pPr>
        <w:jc w:val="center"/>
        <w:rPr>
          <w:b/>
          <w:sz w:val="24"/>
        </w:rPr>
      </w:pPr>
      <w:r w:rsidRPr="00DD5B16">
        <w:rPr>
          <w:b/>
          <w:sz w:val="24"/>
        </w:rPr>
        <w:t>Meeting Minutes</w:t>
      </w:r>
    </w:p>
    <w:p w14:paraId="07D364C6" w14:textId="77777777" w:rsidR="00FB4278" w:rsidRPr="00DD5B16" w:rsidRDefault="00FB4278" w:rsidP="00FB4278">
      <w:pPr>
        <w:pStyle w:val="BodyText"/>
        <w:rPr>
          <w:b/>
          <w:sz w:val="22"/>
        </w:rPr>
      </w:pPr>
    </w:p>
    <w:p w14:paraId="034B7955" w14:textId="5DF59DDC" w:rsidR="003E2FB0" w:rsidRPr="004A49C9" w:rsidRDefault="008177EB" w:rsidP="003E2FB0">
      <w:pPr>
        <w:rPr>
          <w:b/>
          <w:i/>
          <w:iCs/>
          <w:sz w:val="24"/>
          <w:szCs w:val="24"/>
        </w:rPr>
      </w:pPr>
      <w:r>
        <w:rPr>
          <w:b/>
          <w:i/>
          <w:iCs/>
          <w:sz w:val="24"/>
          <w:szCs w:val="24"/>
        </w:rPr>
        <w:t>DUR Board</w:t>
      </w:r>
      <w:r w:rsidR="003E2FB0" w:rsidRPr="004A49C9">
        <w:rPr>
          <w:b/>
          <w:i/>
          <w:iCs/>
          <w:sz w:val="24"/>
          <w:szCs w:val="24"/>
        </w:rPr>
        <w:t xml:space="preserve"> Members: </w:t>
      </w:r>
      <w:r w:rsidR="003E2FB0" w:rsidRPr="001251E4">
        <w:rPr>
          <w:bCs/>
          <w:sz w:val="24"/>
          <w:szCs w:val="24"/>
        </w:rPr>
        <w:t>B. Gayle,</w:t>
      </w:r>
      <w:r w:rsidR="003E2FB0" w:rsidRPr="001251E4">
        <w:rPr>
          <w:b/>
          <w:sz w:val="24"/>
          <w:szCs w:val="24"/>
        </w:rPr>
        <w:t xml:space="preserve"> </w:t>
      </w:r>
      <w:r w:rsidR="003E2FB0" w:rsidRPr="001251E4">
        <w:rPr>
          <w:bCs/>
          <w:sz w:val="24"/>
          <w:szCs w:val="24"/>
        </w:rPr>
        <w:t>M. Healy,</w:t>
      </w:r>
      <w:r w:rsidR="003E2FB0" w:rsidRPr="001251E4">
        <w:rPr>
          <w:b/>
          <w:sz w:val="24"/>
          <w:szCs w:val="24"/>
        </w:rPr>
        <w:t xml:space="preserve"> </w:t>
      </w:r>
      <w:r w:rsidR="003E2FB0" w:rsidRPr="001251E4">
        <w:rPr>
          <w:bCs/>
          <w:sz w:val="24"/>
          <w:szCs w:val="24"/>
        </w:rPr>
        <w:t>B. Hose, C. Lefebvre, M. McDonald</w:t>
      </w:r>
      <w:r w:rsidR="003E2FB0" w:rsidRPr="004A49C9">
        <w:rPr>
          <w:bCs/>
          <w:i/>
          <w:iCs/>
          <w:sz w:val="24"/>
          <w:szCs w:val="24"/>
        </w:rPr>
        <w:t>,</w:t>
      </w:r>
      <w:r w:rsidR="003E2FB0">
        <w:rPr>
          <w:bCs/>
          <w:i/>
          <w:iCs/>
          <w:sz w:val="24"/>
          <w:szCs w:val="24"/>
        </w:rPr>
        <w:t xml:space="preserve"> </w:t>
      </w:r>
      <w:r w:rsidR="003E2FB0" w:rsidRPr="001251E4">
        <w:rPr>
          <w:bCs/>
          <w:sz w:val="24"/>
          <w:szCs w:val="24"/>
        </w:rPr>
        <w:t>N. McGarvey,</w:t>
      </w:r>
      <w:r w:rsidR="003E2FB0" w:rsidRPr="004A49C9">
        <w:rPr>
          <w:bCs/>
          <w:i/>
          <w:iCs/>
          <w:sz w:val="24"/>
          <w:szCs w:val="24"/>
        </w:rPr>
        <w:t xml:space="preserve"> </w:t>
      </w:r>
      <w:r w:rsidR="00840AF2">
        <w:rPr>
          <w:bCs/>
          <w:i/>
          <w:iCs/>
          <w:sz w:val="24"/>
          <w:szCs w:val="24"/>
        </w:rPr>
        <w:br/>
      </w:r>
      <w:r w:rsidR="003E2FB0" w:rsidRPr="001251E4">
        <w:rPr>
          <w:bCs/>
          <w:sz w:val="24"/>
          <w:szCs w:val="24"/>
        </w:rPr>
        <w:t>O. Onyewu,</w:t>
      </w:r>
      <w:r w:rsidR="003E2FB0">
        <w:rPr>
          <w:bCs/>
          <w:sz w:val="24"/>
          <w:szCs w:val="24"/>
        </w:rPr>
        <w:t xml:space="preserve"> S. </w:t>
      </w:r>
      <w:r w:rsidR="003E2FB0" w:rsidRPr="001251E4">
        <w:rPr>
          <w:bCs/>
          <w:sz w:val="24"/>
          <w:szCs w:val="24"/>
        </w:rPr>
        <w:t>Papesh</w:t>
      </w:r>
      <w:r w:rsidR="00840AF2">
        <w:rPr>
          <w:bCs/>
          <w:sz w:val="24"/>
          <w:szCs w:val="24"/>
        </w:rPr>
        <w:t xml:space="preserve">, </w:t>
      </w:r>
      <w:r w:rsidR="00840AF2" w:rsidRPr="001251E4">
        <w:rPr>
          <w:bCs/>
          <w:sz w:val="24"/>
          <w:szCs w:val="24"/>
        </w:rPr>
        <w:t>M. Poplawski</w:t>
      </w:r>
    </w:p>
    <w:p w14:paraId="017A52ED" w14:textId="33C2E870" w:rsidR="003E2FB0" w:rsidRPr="004A49C9" w:rsidRDefault="003E2FB0" w:rsidP="003E2FB0">
      <w:pPr>
        <w:rPr>
          <w:bCs/>
          <w:i/>
          <w:iCs/>
          <w:sz w:val="24"/>
          <w:szCs w:val="24"/>
        </w:rPr>
      </w:pPr>
      <w:r w:rsidRPr="004A49C9">
        <w:rPr>
          <w:b/>
          <w:i/>
          <w:iCs/>
          <w:sz w:val="24"/>
          <w:szCs w:val="24"/>
        </w:rPr>
        <w:t xml:space="preserve">Office of Pharmacy Services (OPS): </w:t>
      </w:r>
      <w:r w:rsidRPr="001251E4">
        <w:rPr>
          <w:bCs/>
          <w:sz w:val="24"/>
          <w:szCs w:val="24"/>
        </w:rPr>
        <w:t>A. Alexandrou,</w:t>
      </w:r>
      <w:r w:rsidRPr="001251E4">
        <w:rPr>
          <w:b/>
          <w:sz w:val="24"/>
          <w:szCs w:val="24"/>
        </w:rPr>
        <w:t xml:space="preserve"> </w:t>
      </w:r>
      <w:r w:rsidRPr="001251E4">
        <w:rPr>
          <w:bCs/>
          <w:sz w:val="24"/>
          <w:szCs w:val="24"/>
        </w:rPr>
        <w:t>I. Frank,</w:t>
      </w:r>
      <w:r w:rsidRPr="004A49C9">
        <w:rPr>
          <w:b/>
          <w:i/>
          <w:iCs/>
          <w:sz w:val="24"/>
          <w:szCs w:val="24"/>
        </w:rPr>
        <w:t xml:space="preserve"> </w:t>
      </w:r>
      <w:r w:rsidRPr="004A49C9">
        <w:rPr>
          <w:bCs/>
          <w:sz w:val="24"/>
          <w:szCs w:val="24"/>
        </w:rPr>
        <w:t>M. Joglekar</w:t>
      </w:r>
      <w:r w:rsidRPr="001251E4">
        <w:rPr>
          <w:bCs/>
          <w:sz w:val="24"/>
          <w:szCs w:val="24"/>
        </w:rPr>
        <w:t>, L. Karanja</w:t>
      </w:r>
      <w:r w:rsidR="00931E13">
        <w:rPr>
          <w:bCs/>
          <w:sz w:val="24"/>
          <w:szCs w:val="24"/>
        </w:rPr>
        <w:t>, D. Sha</w:t>
      </w:r>
      <w:r w:rsidR="00595B8C">
        <w:rPr>
          <w:bCs/>
          <w:sz w:val="24"/>
          <w:szCs w:val="24"/>
        </w:rPr>
        <w:t>h</w:t>
      </w:r>
    </w:p>
    <w:p w14:paraId="4CCC058C" w14:textId="77777777" w:rsidR="003E2FB0" w:rsidRPr="004A49C9" w:rsidRDefault="003E2FB0" w:rsidP="003E2FB0">
      <w:pPr>
        <w:rPr>
          <w:b/>
          <w:i/>
          <w:iCs/>
          <w:sz w:val="24"/>
          <w:szCs w:val="24"/>
        </w:rPr>
      </w:pPr>
      <w:r w:rsidRPr="004A49C9">
        <w:rPr>
          <w:b/>
          <w:i/>
          <w:iCs/>
          <w:sz w:val="24"/>
          <w:szCs w:val="24"/>
        </w:rPr>
        <w:t xml:space="preserve">Maryland Department of Health: </w:t>
      </w:r>
      <w:r w:rsidRPr="001251E4">
        <w:rPr>
          <w:bCs/>
          <w:sz w:val="24"/>
          <w:szCs w:val="24"/>
        </w:rPr>
        <w:t>L. Burgess</w:t>
      </w:r>
    </w:p>
    <w:p w14:paraId="49FDA637" w14:textId="77777777" w:rsidR="003E2FB0" w:rsidRPr="004A49C9" w:rsidRDefault="003E2FB0" w:rsidP="003E2FB0">
      <w:pPr>
        <w:rPr>
          <w:b/>
          <w:i/>
          <w:iCs/>
          <w:sz w:val="24"/>
          <w:szCs w:val="24"/>
        </w:rPr>
      </w:pPr>
      <w:r w:rsidRPr="004A49C9">
        <w:rPr>
          <w:b/>
          <w:i/>
          <w:iCs/>
          <w:sz w:val="24"/>
          <w:szCs w:val="24"/>
        </w:rPr>
        <w:t xml:space="preserve">Provider Synergies: </w:t>
      </w:r>
      <w:r w:rsidRPr="001251E4">
        <w:rPr>
          <w:bCs/>
          <w:sz w:val="24"/>
          <w:szCs w:val="24"/>
        </w:rPr>
        <w:t>K. Delaney</w:t>
      </w:r>
    </w:p>
    <w:p w14:paraId="22DE7B53" w14:textId="77777777" w:rsidR="003E2FB0" w:rsidRPr="004A49C9" w:rsidRDefault="003E2FB0" w:rsidP="003E2FB0">
      <w:pPr>
        <w:rPr>
          <w:b/>
          <w:i/>
          <w:iCs/>
          <w:sz w:val="24"/>
          <w:szCs w:val="24"/>
        </w:rPr>
      </w:pPr>
      <w:r w:rsidRPr="004A49C9">
        <w:rPr>
          <w:b/>
          <w:i/>
          <w:iCs/>
          <w:sz w:val="24"/>
          <w:szCs w:val="24"/>
        </w:rPr>
        <w:t xml:space="preserve">Conduent State Healthcare: </w:t>
      </w:r>
      <w:r w:rsidRPr="001251E4">
        <w:rPr>
          <w:bCs/>
          <w:sz w:val="24"/>
          <w:szCs w:val="24"/>
        </w:rPr>
        <w:t>T. Lyons, C. Ogunremi</w:t>
      </w:r>
    </w:p>
    <w:p w14:paraId="4C2DF5D8" w14:textId="77777777" w:rsidR="003E2FB0" w:rsidRPr="004A49C9" w:rsidRDefault="003E2FB0" w:rsidP="003E2FB0">
      <w:pPr>
        <w:rPr>
          <w:b/>
          <w:i/>
          <w:iCs/>
          <w:sz w:val="24"/>
          <w:szCs w:val="24"/>
        </w:rPr>
      </w:pPr>
      <w:r w:rsidRPr="004A49C9">
        <w:rPr>
          <w:b/>
          <w:i/>
          <w:iCs/>
          <w:sz w:val="24"/>
          <w:szCs w:val="24"/>
        </w:rPr>
        <w:t xml:space="preserve">Kepro: </w:t>
      </w:r>
      <w:r w:rsidRPr="001251E4">
        <w:rPr>
          <w:bCs/>
          <w:sz w:val="24"/>
          <w:szCs w:val="24"/>
        </w:rPr>
        <w:t>S. Donald,</w:t>
      </w:r>
      <w:r w:rsidRPr="004A49C9">
        <w:rPr>
          <w:bCs/>
          <w:i/>
          <w:iCs/>
          <w:sz w:val="24"/>
          <w:szCs w:val="24"/>
        </w:rPr>
        <w:t xml:space="preserve"> </w:t>
      </w:r>
      <w:r w:rsidRPr="004A49C9">
        <w:rPr>
          <w:bCs/>
          <w:sz w:val="24"/>
          <w:szCs w:val="24"/>
        </w:rPr>
        <w:t>L. Frendak, D. Patel</w:t>
      </w:r>
    </w:p>
    <w:p w14:paraId="1A3D3F61" w14:textId="77777777" w:rsidR="003E2FB0" w:rsidRPr="004A49C9" w:rsidRDefault="003E2FB0" w:rsidP="003E2FB0">
      <w:pPr>
        <w:rPr>
          <w:bCs/>
          <w:i/>
          <w:iCs/>
          <w:sz w:val="24"/>
          <w:szCs w:val="24"/>
        </w:rPr>
      </w:pPr>
      <w:r w:rsidRPr="004A49C9">
        <w:rPr>
          <w:b/>
          <w:i/>
          <w:iCs/>
          <w:sz w:val="24"/>
          <w:szCs w:val="24"/>
        </w:rPr>
        <w:t xml:space="preserve">Owl Creek Consulting: </w:t>
      </w:r>
      <w:r w:rsidRPr="004A49C9">
        <w:rPr>
          <w:bCs/>
          <w:sz w:val="24"/>
          <w:szCs w:val="24"/>
        </w:rPr>
        <w:t>L. Adelhardt</w:t>
      </w:r>
    </w:p>
    <w:p w14:paraId="735B6DBC" w14:textId="77777777" w:rsidR="000A0D70" w:rsidRPr="000A0D70" w:rsidRDefault="000A0D70" w:rsidP="000A0D70">
      <w:pPr>
        <w:rPr>
          <w:sz w:val="24"/>
          <w:szCs w:val="24"/>
        </w:rPr>
      </w:pPr>
    </w:p>
    <w:p w14:paraId="11786599" w14:textId="54652B6A" w:rsidR="00FB4278" w:rsidRPr="00DD5B16" w:rsidRDefault="00FB4278" w:rsidP="00FB4278">
      <w:pPr>
        <w:pStyle w:val="BodyText"/>
      </w:pPr>
      <w:r w:rsidRPr="00DD5B16">
        <w:t>The Maryland Medicaid Drug Utilization Review (DUR) Board virtual meeting was called to order at 9:</w:t>
      </w:r>
      <w:r w:rsidR="00346DEF">
        <w:t>1</w:t>
      </w:r>
      <w:r w:rsidR="00931E13">
        <w:t>7</w:t>
      </w:r>
      <w:r w:rsidRPr="00DD5B16">
        <w:t xml:space="preserve"> a.m. on Thursday, </w:t>
      </w:r>
      <w:r w:rsidR="00FB44B7">
        <w:t>September 1</w:t>
      </w:r>
      <w:r w:rsidR="00900F71">
        <w:t>, 2022</w:t>
      </w:r>
      <w:r w:rsidRPr="00DD5B16">
        <w:t>, by</w:t>
      </w:r>
      <w:r w:rsidR="00DE00BB">
        <w:t xml:space="preserve"> Dr. </w:t>
      </w:r>
      <w:proofErr w:type="spellStart"/>
      <w:r w:rsidR="00DE00BB">
        <w:t>Papash</w:t>
      </w:r>
      <w:proofErr w:type="spellEnd"/>
      <w:r w:rsidR="00C75974">
        <w:t>.</w:t>
      </w:r>
    </w:p>
    <w:p w14:paraId="52DE5414" w14:textId="77777777" w:rsidR="00FB4278" w:rsidRPr="00DD5B16" w:rsidRDefault="00FB4278" w:rsidP="00FB4278">
      <w:pPr>
        <w:pStyle w:val="BodyText"/>
        <w:rPr>
          <w:sz w:val="23"/>
        </w:rPr>
      </w:pPr>
    </w:p>
    <w:p w14:paraId="364C77A1" w14:textId="77777777" w:rsidR="00FB4278" w:rsidRPr="00DD5B16" w:rsidRDefault="00FB4278" w:rsidP="00FB4278">
      <w:pPr>
        <w:pStyle w:val="Heading1"/>
        <w:ind w:left="0"/>
      </w:pPr>
      <w:r w:rsidRPr="00DD5B16">
        <w:t>Introductions</w:t>
      </w:r>
    </w:p>
    <w:p w14:paraId="2E9638B3" w14:textId="77777777" w:rsidR="00FB4278" w:rsidRPr="00DD5B16" w:rsidRDefault="00FB4278" w:rsidP="00FB4278">
      <w:pPr>
        <w:pStyle w:val="BodyText"/>
        <w:rPr>
          <w:b/>
        </w:rPr>
      </w:pPr>
    </w:p>
    <w:p w14:paraId="540A035E" w14:textId="3015D391" w:rsidR="00FB4278" w:rsidRPr="00DD5B16" w:rsidRDefault="00FB4278" w:rsidP="00FB4278">
      <w:pPr>
        <w:pStyle w:val="BodyText"/>
      </w:pPr>
      <w:r w:rsidRPr="00DD5B16">
        <w:t>The virtual meeting format and participation instructions were presented. A roll call of DUR Board members, affiliated staff and presenters in attendance was taken.</w:t>
      </w:r>
    </w:p>
    <w:p w14:paraId="1F300CE9" w14:textId="77777777" w:rsidR="00FB4278" w:rsidRPr="00DD5B16" w:rsidRDefault="00FB4278" w:rsidP="00FB4278">
      <w:pPr>
        <w:pStyle w:val="BodyText"/>
        <w:rPr>
          <w:sz w:val="23"/>
        </w:rPr>
      </w:pPr>
    </w:p>
    <w:p w14:paraId="116BFF5E" w14:textId="77777777" w:rsidR="00FB4278" w:rsidRPr="00DD5B16" w:rsidRDefault="00FB4278" w:rsidP="00FB4278">
      <w:pPr>
        <w:pStyle w:val="Heading1"/>
        <w:ind w:left="0"/>
      </w:pPr>
      <w:r w:rsidRPr="00DD5B16">
        <w:t>Minutes</w:t>
      </w:r>
    </w:p>
    <w:p w14:paraId="77307FE1" w14:textId="77777777" w:rsidR="00FB4278" w:rsidRPr="00DD5B16" w:rsidRDefault="00FB4278" w:rsidP="00FB4278">
      <w:pPr>
        <w:pStyle w:val="BodyText"/>
        <w:rPr>
          <w:b/>
          <w:sz w:val="23"/>
        </w:rPr>
      </w:pPr>
    </w:p>
    <w:p w14:paraId="1AA6C690" w14:textId="159D25F9" w:rsidR="00FB4278" w:rsidRPr="00DD5B16" w:rsidRDefault="00FB4278" w:rsidP="00FB4278">
      <w:pPr>
        <w:pStyle w:val="BodyText"/>
      </w:pPr>
      <w:r w:rsidRPr="00DD5B16">
        <w:t xml:space="preserve">The minutes from </w:t>
      </w:r>
      <w:r w:rsidR="00FB44B7">
        <w:t>June 2</w:t>
      </w:r>
      <w:r w:rsidR="00346DEF">
        <w:t>, 2022</w:t>
      </w:r>
      <w:r w:rsidRPr="00DD5B16">
        <w:t>, DUR Board meeting were approved as presented.</w:t>
      </w:r>
    </w:p>
    <w:p w14:paraId="0B1C447A" w14:textId="77777777" w:rsidR="00FB4278" w:rsidRPr="00DD5B16" w:rsidRDefault="00FB4278" w:rsidP="00FB4278">
      <w:pPr>
        <w:pStyle w:val="BodyText"/>
        <w:rPr>
          <w:sz w:val="23"/>
        </w:rPr>
      </w:pPr>
    </w:p>
    <w:p w14:paraId="567BBEB5" w14:textId="77777777" w:rsidR="00FB4278" w:rsidRPr="000B346D" w:rsidRDefault="00FB4278" w:rsidP="00FB4278">
      <w:pPr>
        <w:pStyle w:val="Heading1"/>
        <w:ind w:left="0"/>
      </w:pPr>
      <w:r w:rsidRPr="000B346D">
        <w:t>Office of Pharmacy Services</w:t>
      </w:r>
    </w:p>
    <w:p w14:paraId="644FFD0B" w14:textId="77777777" w:rsidR="00FB4278" w:rsidRPr="000B346D" w:rsidRDefault="00FB4278" w:rsidP="00FB4278">
      <w:pPr>
        <w:pStyle w:val="BodyText"/>
      </w:pPr>
    </w:p>
    <w:p w14:paraId="7AB43C40" w14:textId="126E6498" w:rsidR="009D7C80" w:rsidRDefault="00474537" w:rsidP="009D7C80">
      <w:pPr>
        <w:pStyle w:val="BodyText"/>
      </w:pPr>
      <w:r>
        <w:t xml:space="preserve">The Office of Pharmacy Services (OPS), </w:t>
      </w:r>
      <w:r w:rsidR="00950F4D">
        <w:t>Maryland Department of Health (</w:t>
      </w:r>
      <w:r>
        <w:t>MDH</w:t>
      </w:r>
      <w:r w:rsidR="00950F4D">
        <w:t>)</w:t>
      </w:r>
      <w:r>
        <w:t xml:space="preserve"> </w:t>
      </w:r>
      <w:r w:rsidR="009D7C80">
        <w:t>has been standing firm to tackle the</w:t>
      </w:r>
      <w:r w:rsidR="00E6169B">
        <w:t xml:space="preserve"> multiple</w:t>
      </w:r>
      <w:r w:rsidR="009D7C80">
        <w:t xml:space="preserve"> challenges </w:t>
      </w:r>
      <w:r w:rsidR="00E6169B">
        <w:t xml:space="preserve">in healthcare today </w:t>
      </w:r>
      <w:r w:rsidR="009D7C80">
        <w:t xml:space="preserve">and will continue providing optimum and cost-effective care to Marylanders with </w:t>
      </w:r>
      <w:r w:rsidR="00E6169B">
        <w:t xml:space="preserve">the Board’s </w:t>
      </w:r>
      <w:r w:rsidR="009D7C80">
        <w:t xml:space="preserve">support, </w:t>
      </w:r>
      <w:proofErr w:type="gramStart"/>
      <w:r w:rsidR="009D7C80">
        <w:t>guidance</w:t>
      </w:r>
      <w:proofErr w:type="gramEnd"/>
      <w:r w:rsidR="009D7C80">
        <w:t xml:space="preserve"> and expertise. </w:t>
      </w:r>
      <w:r w:rsidR="001259C2">
        <w:t xml:space="preserve">For additional details, </w:t>
      </w:r>
      <w:r w:rsidR="00E6169B">
        <w:t xml:space="preserve">Board members were </w:t>
      </w:r>
      <w:r w:rsidR="009D7C80">
        <w:t>encourage</w:t>
      </w:r>
      <w:r w:rsidR="00E6169B">
        <w:t>d</w:t>
      </w:r>
      <w:r w:rsidR="009D7C80">
        <w:t xml:space="preserve"> to visit the Provider Advisories’ section of the Office of Pharmacy Services Medicaid Program’s website at https://mmcp.health.maryland.gov/pap/Pages/Provider-Advisories.aspx. </w:t>
      </w:r>
    </w:p>
    <w:p w14:paraId="56C73117" w14:textId="77777777" w:rsidR="00E6169B" w:rsidRDefault="009D7C80" w:rsidP="009D7C80">
      <w:pPr>
        <w:pStyle w:val="BodyText"/>
      </w:pPr>
      <w:r>
        <w:t xml:space="preserve">            </w:t>
      </w:r>
    </w:p>
    <w:p w14:paraId="79E51B5D" w14:textId="08165663" w:rsidR="009D7C80" w:rsidRDefault="00E6169B" w:rsidP="009D7C80">
      <w:pPr>
        <w:pStyle w:val="BodyText"/>
      </w:pPr>
      <w:r>
        <w:t xml:space="preserve">Regarding the </w:t>
      </w:r>
      <w:r w:rsidR="009D7C80">
        <w:t>Unified Corrective Managed Care lock-in Program</w:t>
      </w:r>
      <w:r>
        <w:t>, t</w:t>
      </w:r>
      <w:r w:rsidR="009D7C80">
        <w:t>he Department is actively monitoring the questionable usage of control substances by enrollees under the State plan and, this Program is working as anticipated and improv</w:t>
      </w:r>
      <w:r>
        <w:t>ing</w:t>
      </w:r>
      <w:r w:rsidR="009D7C80">
        <w:t xml:space="preserve"> appropriate practices. As of Aug</w:t>
      </w:r>
      <w:r>
        <w:t>ust</w:t>
      </w:r>
      <w:r w:rsidR="009D7C80">
        <w:t xml:space="preserve"> 5,</w:t>
      </w:r>
      <w:r>
        <w:t xml:space="preserve"> </w:t>
      </w:r>
      <w:r>
        <w:lastRenderedPageBreak/>
        <w:t>2022</w:t>
      </w:r>
      <w:r w:rsidR="009D7C80">
        <w:t xml:space="preserve">, a total of 297 participants are locked in the Program across </w:t>
      </w:r>
      <w:r>
        <w:t>nine</w:t>
      </w:r>
      <w:r w:rsidR="009D7C80">
        <w:t xml:space="preserve"> Managed Care Organizations with 244 providers, however, the number (a total of 19 participants) stayed consistent for the Fee-for-Service (FFS) program when compared with the June 2022 DUR Board meeting reporting. </w:t>
      </w:r>
      <w:r>
        <w:t>T</w:t>
      </w:r>
      <w:r w:rsidR="009D7C80">
        <w:t xml:space="preserve">he Program’s goal always has been the well-being of </w:t>
      </w:r>
      <w:r>
        <w:t>its</w:t>
      </w:r>
      <w:r w:rsidR="009D7C80">
        <w:t xml:space="preserve"> members and to provide utmost cost-effective care to all the participants in timely manner. </w:t>
      </w:r>
    </w:p>
    <w:p w14:paraId="4982DF0E" w14:textId="77777777" w:rsidR="009D7C80" w:rsidRDefault="009D7C80" w:rsidP="009D7C80">
      <w:pPr>
        <w:pStyle w:val="BodyText"/>
      </w:pPr>
    </w:p>
    <w:p w14:paraId="7CC730A9" w14:textId="0502AA8B" w:rsidR="009D7C80" w:rsidRDefault="009D7C80" w:rsidP="009D7C80">
      <w:pPr>
        <w:pStyle w:val="BodyText"/>
      </w:pPr>
      <w:r>
        <w:t>The Office of Pharmacy Services provides live continuing medical education (CME) to interested prescribers and continuing education (CE) to interested pharmacists every year at no cost.  A two-hour live CME/CE program will be provided virtually on October 15,2022 and all attendees are encouraged to take advantage of this program to earn credits.</w:t>
      </w:r>
    </w:p>
    <w:p w14:paraId="6557C9C6" w14:textId="7F5BB8A3" w:rsidR="009D7C80" w:rsidRDefault="009D7C80" w:rsidP="009D7C80">
      <w:pPr>
        <w:pStyle w:val="BodyText"/>
      </w:pPr>
      <w:r>
        <w:t xml:space="preserve"> </w:t>
      </w:r>
    </w:p>
    <w:p w14:paraId="73E4AF08" w14:textId="1C2C5CD1" w:rsidR="009D7C80" w:rsidRDefault="009D7C80" w:rsidP="009D7C80">
      <w:pPr>
        <w:pStyle w:val="BodyText"/>
      </w:pPr>
      <w:r>
        <w:t>DUR board members were thanked for the expertise they bring to the table and for dedicating their time to participate on this Board.</w:t>
      </w:r>
    </w:p>
    <w:p w14:paraId="2534A12C" w14:textId="77777777" w:rsidR="00474537" w:rsidRPr="000B346D" w:rsidRDefault="00474537" w:rsidP="00474537">
      <w:pPr>
        <w:pStyle w:val="BodyText"/>
      </w:pPr>
    </w:p>
    <w:p w14:paraId="6B3578F6" w14:textId="77777777" w:rsidR="00FB4278" w:rsidRPr="000B346D" w:rsidRDefault="00FB4278" w:rsidP="00FB4278">
      <w:pPr>
        <w:pStyle w:val="Heading1"/>
        <w:ind w:left="0"/>
      </w:pPr>
      <w:r w:rsidRPr="000B346D">
        <w:t>Conduent State Healthcare, LLC</w:t>
      </w:r>
    </w:p>
    <w:p w14:paraId="7D6E69F4" w14:textId="77777777" w:rsidR="00FB4278" w:rsidRPr="000B346D" w:rsidRDefault="00FB4278" w:rsidP="00FB4278">
      <w:pPr>
        <w:pStyle w:val="BodyText"/>
        <w:rPr>
          <w:b/>
        </w:rPr>
      </w:pPr>
    </w:p>
    <w:p w14:paraId="0FE3A7C2" w14:textId="27BA9F5E" w:rsidR="00FB4278" w:rsidRPr="000B346D" w:rsidRDefault="00FB4278" w:rsidP="00FB4278">
      <w:pPr>
        <w:pStyle w:val="BodyText"/>
      </w:pPr>
      <w:r w:rsidRPr="000B346D">
        <w:t>Conduent presented a summary of therapeutic duplication alerts for the use of benzodiazepine and clonazepam, a summary of Preferred Drug List (PDL) prior authorization requests, and a summary of prospective drug utilization review (</w:t>
      </w:r>
      <w:proofErr w:type="spellStart"/>
      <w:r w:rsidRPr="000B346D">
        <w:t>ProDUR</w:t>
      </w:r>
      <w:proofErr w:type="spellEnd"/>
      <w:r w:rsidRPr="000B346D">
        <w:t xml:space="preserve">) edits for the </w:t>
      </w:r>
      <w:r w:rsidR="00FB44B7">
        <w:t>second</w:t>
      </w:r>
      <w:r w:rsidRPr="000B346D">
        <w:t xml:space="preserve"> quarter of 202</w:t>
      </w:r>
      <w:r w:rsidR="009C7A88">
        <w:t>2</w:t>
      </w:r>
      <w:r w:rsidRPr="000B346D">
        <w:t>.</w:t>
      </w:r>
    </w:p>
    <w:p w14:paraId="2BA78988" w14:textId="77777777" w:rsidR="00FB4278" w:rsidRPr="000B346D" w:rsidRDefault="00FB4278" w:rsidP="00FB4278">
      <w:pPr>
        <w:pStyle w:val="BodyText"/>
      </w:pPr>
    </w:p>
    <w:p w14:paraId="5553E7E5" w14:textId="77777777" w:rsidR="00FB4278" w:rsidRPr="000B346D" w:rsidRDefault="00FB4278" w:rsidP="00FB4278">
      <w:pPr>
        <w:rPr>
          <w:i/>
          <w:sz w:val="24"/>
          <w:szCs w:val="24"/>
        </w:rPr>
      </w:pPr>
      <w:r w:rsidRPr="000B346D">
        <w:rPr>
          <w:i/>
          <w:sz w:val="24"/>
          <w:szCs w:val="24"/>
        </w:rPr>
        <w:t>Summary of Therapeutic Duplication Alerts</w:t>
      </w:r>
    </w:p>
    <w:p w14:paraId="0EF40C98" w14:textId="77777777" w:rsidR="00FB4278" w:rsidRPr="000B346D" w:rsidRDefault="00FB4278" w:rsidP="00FB4278">
      <w:pPr>
        <w:pStyle w:val="BodyText"/>
        <w:rPr>
          <w:i/>
        </w:rPr>
      </w:pPr>
    </w:p>
    <w:p w14:paraId="4393D2E0" w14:textId="7F646BE8" w:rsidR="00FB4278" w:rsidRPr="000B346D" w:rsidRDefault="00FB4278" w:rsidP="00FB4278">
      <w:pPr>
        <w:pStyle w:val="BodyText"/>
      </w:pPr>
      <w:r w:rsidRPr="000B346D">
        <w:t>Regarding therapeutic duplication of benzodiazepines and clonazepam, Conduent reported 1</w:t>
      </w:r>
      <w:r>
        <w:t>3,</w:t>
      </w:r>
      <w:r w:rsidR="00C640D6">
        <w:t>713</w:t>
      </w:r>
      <w:r w:rsidRPr="000B346D">
        <w:t xml:space="preserve"> alerts</w:t>
      </w:r>
      <w:r w:rsidR="00E64C9E">
        <w:t xml:space="preserve"> for </w:t>
      </w:r>
      <w:r w:rsidR="00C640D6">
        <w:t>1</w:t>
      </w:r>
      <w:r w:rsidR="009C7A88">
        <w:t>,</w:t>
      </w:r>
      <w:r w:rsidR="00C640D6">
        <w:t>190</w:t>
      </w:r>
      <w:r w:rsidR="00E64C9E">
        <w:t xml:space="preserve"> participants</w:t>
      </w:r>
      <w:r w:rsidRPr="000B346D">
        <w:t>, for which 8</w:t>
      </w:r>
      <w:r w:rsidR="009C7A88">
        <w:t>3</w:t>
      </w:r>
      <w:r w:rsidRPr="000B346D">
        <w:t>% were overridden at the point of sale by the pharmacy provider</w:t>
      </w:r>
      <w:r>
        <w:t>s</w:t>
      </w:r>
      <w:r w:rsidRPr="000B346D">
        <w:t xml:space="preserve"> during the </w:t>
      </w:r>
      <w:r w:rsidR="00FB44B7">
        <w:t>second</w:t>
      </w:r>
      <w:r w:rsidR="009C7A88">
        <w:t xml:space="preserve"> </w:t>
      </w:r>
      <w:r w:rsidRPr="000B346D">
        <w:t>quarter of 202</w:t>
      </w:r>
      <w:r w:rsidR="009C7A88">
        <w:t>2</w:t>
      </w:r>
      <w:r w:rsidRPr="000B346D">
        <w:t xml:space="preserve">, which is </w:t>
      </w:r>
      <w:proofErr w:type="gramStart"/>
      <w:r w:rsidR="0033413D">
        <w:t>similar to</w:t>
      </w:r>
      <w:proofErr w:type="gramEnd"/>
      <w:r w:rsidR="0033413D">
        <w:t xml:space="preserve"> </w:t>
      </w:r>
      <w:r w:rsidRPr="000B346D">
        <w:t>previous quarters of rates between 8</w:t>
      </w:r>
      <w:r w:rsidR="0033413D">
        <w:t>0</w:t>
      </w:r>
      <w:r w:rsidRPr="000B346D">
        <w:t>-</w:t>
      </w:r>
      <w:r w:rsidR="0033413D">
        <w:t>85</w:t>
      </w:r>
      <w:r w:rsidRPr="000B346D">
        <w:t>%.</w:t>
      </w:r>
    </w:p>
    <w:p w14:paraId="190DA2EF" w14:textId="77777777" w:rsidR="00FB4278" w:rsidRPr="000B346D" w:rsidRDefault="00FB4278" w:rsidP="00FB4278">
      <w:pPr>
        <w:pStyle w:val="BodyText"/>
      </w:pPr>
    </w:p>
    <w:p w14:paraId="3B307035" w14:textId="77777777" w:rsidR="00FB4278" w:rsidRPr="00DD5B16" w:rsidRDefault="00FB4278" w:rsidP="00FB4278">
      <w:pPr>
        <w:rPr>
          <w:i/>
          <w:sz w:val="24"/>
        </w:rPr>
      </w:pPr>
      <w:r w:rsidRPr="00DD5B16">
        <w:rPr>
          <w:i/>
          <w:sz w:val="24"/>
        </w:rPr>
        <w:t>Summary of PDL Prior Authorization Requests</w:t>
      </w:r>
    </w:p>
    <w:p w14:paraId="4C4D82BC" w14:textId="77777777" w:rsidR="00FB4278" w:rsidRPr="00DD5B16" w:rsidRDefault="00FB4278" w:rsidP="00FB4278">
      <w:pPr>
        <w:pStyle w:val="BodyText"/>
        <w:rPr>
          <w:i/>
        </w:rPr>
      </w:pPr>
    </w:p>
    <w:p w14:paraId="549D4C33" w14:textId="795CC591" w:rsidR="00FB4278" w:rsidRPr="00DD5B16" w:rsidRDefault="00FB4278" w:rsidP="00FB4278">
      <w:pPr>
        <w:pStyle w:val="BodyText"/>
      </w:pPr>
      <w:r>
        <w:t>For</w:t>
      </w:r>
      <w:r w:rsidRPr="00DD5B16">
        <w:t xml:space="preserve"> the </w:t>
      </w:r>
      <w:r w:rsidR="00FB44B7">
        <w:t>second</w:t>
      </w:r>
      <w:r w:rsidR="009C7A88">
        <w:t xml:space="preserve"> </w:t>
      </w:r>
      <w:r w:rsidRPr="00DD5B16">
        <w:t>quarter</w:t>
      </w:r>
      <w:r>
        <w:t xml:space="preserve"> of 202</w:t>
      </w:r>
      <w:r w:rsidR="009C7A88">
        <w:t>2</w:t>
      </w:r>
      <w:r w:rsidRPr="00DD5B16">
        <w:t xml:space="preserve">, </w:t>
      </w:r>
      <w:r w:rsidR="009C7A88">
        <w:t>4</w:t>
      </w:r>
      <w:r w:rsidR="00E64C9E">
        <w:t>,</w:t>
      </w:r>
      <w:r w:rsidR="0033413D">
        <w:t>157</w:t>
      </w:r>
      <w:r w:rsidR="00E64C9E">
        <w:t xml:space="preserve"> </w:t>
      </w:r>
      <w:r w:rsidRPr="00DD5B16">
        <w:t>new PDL prior authorization (PA) approvals were authorized. The top ten therapeutic categories accounted for</w:t>
      </w:r>
      <w:r w:rsidR="00E64C9E">
        <w:t xml:space="preserve"> 8</w:t>
      </w:r>
      <w:r w:rsidR="009C7A88">
        <w:t>6</w:t>
      </w:r>
      <w:r w:rsidR="00E64C9E">
        <w:t>%</w:t>
      </w:r>
      <w:r w:rsidRPr="00DD5B16">
        <w:t xml:space="preserve"> of the new PDL PAs. </w:t>
      </w:r>
      <w:r w:rsidRPr="00E64C9E">
        <w:t>Stimulants and related agents</w:t>
      </w:r>
      <w:r>
        <w:t xml:space="preserve"> represented the </w:t>
      </w:r>
      <w:r w:rsidRPr="00DD5B16">
        <w:t>highest number of requests this quarter. The number of request</w:t>
      </w:r>
      <w:r>
        <w:t xml:space="preserve">s was </w:t>
      </w:r>
      <w:r w:rsidR="0033413D">
        <w:t>consistent with</w:t>
      </w:r>
      <w:r>
        <w:t xml:space="preserve"> the </w:t>
      </w:r>
      <w:r w:rsidR="00C640D6">
        <w:t>first</w:t>
      </w:r>
      <w:r>
        <w:t xml:space="preserve"> </w:t>
      </w:r>
      <w:r w:rsidRPr="00DD5B16">
        <w:t>quarter of 202</w:t>
      </w:r>
      <w:r w:rsidR="00C640D6">
        <w:t>2</w:t>
      </w:r>
      <w:r w:rsidRPr="00DD5B16">
        <w:t xml:space="preserve">. A full listing of all PDL </w:t>
      </w:r>
      <w:r w:rsidR="00E64C9E">
        <w:t xml:space="preserve">prior authorization </w:t>
      </w:r>
      <w:r w:rsidRPr="00DD5B16">
        <w:t xml:space="preserve">requests for the </w:t>
      </w:r>
      <w:r w:rsidR="00FB44B7">
        <w:t>second</w:t>
      </w:r>
      <w:r>
        <w:t xml:space="preserve"> </w:t>
      </w:r>
      <w:r w:rsidRPr="00DD5B16">
        <w:t>quarter was presented to the Board.</w:t>
      </w:r>
    </w:p>
    <w:p w14:paraId="31811B91" w14:textId="77777777" w:rsidR="00FB4278" w:rsidRPr="00DD5B16" w:rsidRDefault="00FB4278" w:rsidP="00FB4278">
      <w:pPr>
        <w:pStyle w:val="BodyText"/>
      </w:pPr>
    </w:p>
    <w:p w14:paraId="410B57C0" w14:textId="77777777" w:rsidR="00FB4278" w:rsidRPr="00DD5B16" w:rsidRDefault="00FB4278" w:rsidP="00FB4278">
      <w:pPr>
        <w:rPr>
          <w:i/>
          <w:sz w:val="24"/>
        </w:rPr>
      </w:pPr>
      <w:r w:rsidRPr="00DD5B16">
        <w:rPr>
          <w:i/>
          <w:sz w:val="24"/>
        </w:rPr>
        <w:t>Summary of Prospective Drug Utilization (</w:t>
      </w:r>
      <w:proofErr w:type="spellStart"/>
      <w:r w:rsidRPr="00DD5B16">
        <w:rPr>
          <w:i/>
          <w:sz w:val="24"/>
        </w:rPr>
        <w:t>ProDUR</w:t>
      </w:r>
      <w:proofErr w:type="spellEnd"/>
      <w:r w:rsidRPr="00DD5B16">
        <w:rPr>
          <w:i/>
          <w:sz w:val="24"/>
        </w:rPr>
        <w:t>) Edits</w:t>
      </w:r>
    </w:p>
    <w:p w14:paraId="6B3244ED" w14:textId="77777777" w:rsidR="00FB4278" w:rsidRPr="00DD5B16" w:rsidRDefault="00FB4278" w:rsidP="00FB4278">
      <w:pPr>
        <w:pStyle w:val="BodyText"/>
        <w:rPr>
          <w:i/>
          <w:sz w:val="23"/>
        </w:rPr>
      </w:pPr>
    </w:p>
    <w:p w14:paraId="028B32AF" w14:textId="771439AB" w:rsidR="00FB4278" w:rsidRPr="00DD5B16" w:rsidRDefault="00FB4278" w:rsidP="00FB4278">
      <w:pPr>
        <w:pStyle w:val="BodyText"/>
      </w:pPr>
      <w:r w:rsidRPr="00DD5B16">
        <w:t xml:space="preserve">Claims information was presented for the </w:t>
      </w:r>
      <w:r w:rsidR="00FB44B7">
        <w:t>second</w:t>
      </w:r>
      <w:r>
        <w:t xml:space="preserve"> </w:t>
      </w:r>
      <w:r w:rsidRPr="00DD5B16">
        <w:t>quarter of 202</w:t>
      </w:r>
      <w:r w:rsidR="009C7A88">
        <w:t>2</w:t>
      </w:r>
      <w:r w:rsidRPr="00DD5B16">
        <w:t>. Regarding therapeutic duplications, antidepressants represented the highest of all alerts (</w:t>
      </w:r>
      <w:r w:rsidR="00063590">
        <w:t>49</w:t>
      </w:r>
      <w:r w:rsidRPr="00DD5B16">
        <w:t>%). For early refills, antidepressants (</w:t>
      </w:r>
      <w:r w:rsidR="00C640D6">
        <w:t>6</w:t>
      </w:r>
      <w:r w:rsidR="009C7A88">
        <w:t>7</w:t>
      </w:r>
      <w:r w:rsidRPr="00DD5B16">
        <w:t>%) continued at the top of all alerts</w:t>
      </w:r>
      <w:r w:rsidR="0033413D">
        <w:t>, with an increase of 10% over last quarter</w:t>
      </w:r>
      <w:r w:rsidRPr="00DD5B16">
        <w:t>. Most drug-drug interaction alerts (</w:t>
      </w:r>
      <w:r w:rsidR="009C7A88">
        <w:t>61</w:t>
      </w:r>
      <w:r w:rsidRPr="00DD5B16">
        <w:t xml:space="preserve">%) involved antidepressants. A summary </w:t>
      </w:r>
      <w:r w:rsidR="00985168">
        <w:t>by</w:t>
      </w:r>
      <w:r w:rsidR="00F86529" w:rsidRPr="00DD5B16">
        <w:t xml:space="preserve"> </w:t>
      </w:r>
      <w:r w:rsidRPr="00DD5B16">
        <w:t xml:space="preserve">DUR conflict, intervention, and outcome was reported. Cost avoidance estimates were presented. The Call Center experienced </w:t>
      </w:r>
      <w:r>
        <w:t xml:space="preserve">a </w:t>
      </w:r>
      <w:r w:rsidR="00034F0F">
        <w:t>decrease</w:t>
      </w:r>
      <w:r w:rsidR="00035D65">
        <w:t xml:space="preserve"> </w:t>
      </w:r>
      <w:r w:rsidR="00E64C9E">
        <w:t xml:space="preserve">in faxes and </w:t>
      </w:r>
      <w:r w:rsidRPr="00DD5B16">
        <w:t>call</w:t>
      </w:r>
      <w:r>
        <w:t xml:space="preserve"> volume</w:t>
      </w:r>
      <w:r w:rsidRPr="00DD5B16">
        <w:t xml:space="preserve"> </w:t>
      </w:r>
      <w:r>
        <w:t xml:space="preserve">compared to the previous </w:t>
      </w:r>
      <w:r w:rsidRPr="00DD5B16">
        <w:t xml:space="preserve">quarter. Abandoned calls </w:t>
      </w:r>
      <w:r>
        <w:t xml:space="preserve">were </w:t>
      </w:r>
      <w:r w:rsidR="00034F0F">
        <w:t xml:space="preserve">approximately </w:t>
      </w:r>
      <w:r w:rsidRPr="00E64C9E">
        <w:t>1</w:t>
      </w:r>
      <w:r w:rsidRPr="00771CD8">
        <w:t>%</w:t>
      </w:r>
      <w:r>
        <w:t xml:space="preserve"> across all months. </w:t>
      </w:r>
    </w:p>
    <w:p w14:paraId="31241D58" w14:textId="77777777" w:rsidR="00FB4278" w:rsidRPr="00DD5B16" w:rsidRDefault="00FB4278" w:rsidP="00FB4278">
      <w:pPr>
        <w:pStyle w:val="BodyText"/>
        <w:rPr>
          <w:sz w:val="23"/>
        </w:rPr>
      </w:pPr>
    </w:p>
    <w:p w14:paraId="51869488" w14:textId="77777777" w:rsidR="00FB4278" w:rsidRPr="00DD5B16" w:rsidRDefault="00FB4278" w:rsidP="00FB4278">
      <w:pPr>
        <w:pStyle w:val="Heading1"/>
        <w:ind w:left="0"/>
      </w:pPr>
      <w:r>
        <w:t>Kepro</w:t>
      </w:r>
    </w:p>
    <w:p w14:paraId="32FD14E7" w14:textId="77777777" w:rsidR="00FB4278" w:rsidRPr="00DD5B16" w:rsidRDefault="00FB4278" w:rsidP="00FB4278">
      <w:pPr>
        <w:pStyle w:val="BodyText"/>
        <w:rPr>
          <w:b/>
          <w:sz w:val="23"/>
        </w:rPr>
      </w:pPr>
    </w:p>
    <w:p w14:paraId="3217A02F" w14:textId="7638F113" w:rsidR="00FB4278" w:rsidRPr="00DD5B16" w:rsidRDefault="00FB4278" w:rsidP="00FB4278">
      <w:pPr>
        <w:pStyle w:val="BodyText"/>
      </w:pPr>
      <w:r>
        <w:t>Kepro</w:t>
      </w:r>
      <w:r w:rsidRPr="00DD5B16">
        <w:t xml:space="preserve"> presented a review of action items from the </w:t>
      </w:r>
      <w:r w:rsidR="002D14DD">
        <w:t>June</w:t>
      </w:r>
      <w:r w:rsidR="00E8200E">
        <w:t xml:space="preserve"> 2022</w:t>
      </w:r>
      <w:r w:rsidRPr="00DD5B16">
        <w:t xml:space="preserve"> meeting, an overview of active interventions, a retrospective DUR (RDUR) intervention summary for the </w:t>
      </w:r>
      <w:r w:rsidR="00FB44B7">
        <w:t>second</w:t>
      </w:r>
      <w:r w:rsidR="00E8200E">
        <w:t xml:space="preserve"> </w:t>
      </w:r>
      <w:r w:rsidRPr="00DD5B16">
        <w:t>quarter of 202</w:t>
      </w:r>
      <w:r w:rsidR="00E8200E">
        <w:t>2</w:t>
      </w:r>
      <w:r w:rsidRPr="00DD5B16">
        <w:t>, and future RDUR interventions for the Maryland Medicaid FFS population.</w:t>
      </w:r>
    </w:p>
    <w:p w14:paraId="4F6902BD" w14:textId="77777777" w:rsidR="00FB4278" w:rsidRPr="00DD5B16" w:rsidRDefault="00FB4278" w:rsidP="00FB4278">
      <w:pPr>
        <w:pStyle w:val="BodyText"/>
      </w:pPr>
    </w:p>
    <w:p w14:paraId="0A9AFA6F" w14:textId="77777777" w:rsidR="00FB4278" w:rsidRPr="00DD5B16" w:rsidRDefault="00FB4278" w:rsidP="00FB4278">
      <w:pPr>
        <w:rPr>
          <w:i/>
          <w:sz w:val="24"/>
        </w:rPr>
      </w:pPr>
      <w:r w:rsidRPr="00DD5B16">
        <w:rPr>
          <w:i/>
          <w:sz w:val="24"/>
        </w:rPr>
        <w:t>Review of Action Items</w:t>
      </w:r>
    </w:p>
    <w:p w14:paraId="76862BC5" w14:textId="77777777" w:rsidR="00FB4278" w:rsidRPr="00DD5B16" w:rsidRDefault="00FB4278" w:rsidP="00FB4278">
      <w:pPr>
        <w:pStyle w:val="BodyText"/>
        <w:rPr>
          <w:i/>
          <w:sz w:val="23"/>
        </w:rPr>
      </w:pPr>
    </w:p>
    <w:p w14:paraId="144A0E4B" w14:textId="548AD2CA" w:rsidR="00FB4278" w:rsidRPr="00DD5B16" w:rsidRDefault="00FB4278" w:rsidP="00FB4278">
      <w:pPr>
        <w:pStyle w:val="BodyText"/>
      </w:pPr>
      <w:r w:rsidRPr="00DD5B16">
        <w:t xml:space="preserve">Outcomes of RDUR interventions for the </w:t>
      </w:r>
      <w:r w:rsidR="00FB44B7">
        <w:t>second</w:t>
      </w:r>
      <w:r w:rsidR="00E8200E">
        <w:t xml:space="preserve"> </w:t>
      </w:r>
      <w:r w:rsidRPr="00DD5B16">
        <w:t>quarter of 202</w:t>
      </w:r>
      <w:r w:rsidR="00E8200E">
        <w:t>2</w:t>
      </w:r>
      <w:r w:rsidRPr="00DD5B16">
        <w:t xml:space="preserve"> were presented</w:t>
      </w:r>
      <w:r w:rsidRPr="00DD5B16">
        <w:rPr>
          <w:b/>
        </w:rPr>
        <w:t xml:space="preserve">. </w:t>
      </w:r>
      <w:r w:rsidRPr="00DD5B16">
        <w:t>The intervention outcomes process is initiated during the profile review by a clinical pharmacist. Participants who are identified as having a therapeutic issue are flagged and educational intervention letters are sent to both prescribers and pharmacy providers. The identified participants are reassessed after a six-month suppression period to determine if there has been a change in prescribing behaviors for the identified therapeutic issue.</w:t>
      </w:r>
    </w:p>
    <w:p w14:paraId="7813121C" w14:textId="77777777" w:rsidR="00FB4278" w:rsidRPr="00DD5B16" w:rsidRDefault="00FB4278" w:rsidP="00FB4278">
      <w:pPr>
        <w:pStyle w:val="BodyText"/>
        <w:rPr>
          <w:sz w:val="23"/>
        </w:rPr>
      </w:pPr>
    </w:p>
    <w:p w14:paraId="322E03B5" w14:textId="77777777" w:rsidR="00FB4278" w:rsidRPr="00DD5B16" w:rsidRDefault="00FB4278" w:rsidP="00FB4278">
      <w:pPr>
        <w:rPr>
          <w:i/>
          <w:sz w:val="24"/>
        </w:rPr>
      </w:pPr>
      <w:r w:rsidRPr="00DD5B16">
        <w:rPr>
          <w:i/>
          <w:sz w:val="24"/>
        </w:rPr>
        <w:t>Summary of Active Interventions</w:t>
      </w:r>
    </w:p>
    <w:p w14:paraId="2A51085A" w14:textId="77777777" w:rsidR="00FB4278" w:rsidRPr="00DD5B16" w:rsidRDefault="00FB4278" w:rsidP="00FB4278">
      <w:pPr>
        <w:pStyle w:val="BodyText"/>
        <w:rPr>
          <w:i/>
        </w:rPr>
      </w:pPr>
    </w:p>
    <w:p w14:paraId="79F35F2B" w14:textId="77BD059B" w:rsidR="0030426D" w:rsidRDefault="0030426D" w:rsidP="00FD371C">
      <w:pPr>
        <w:pStyle w:val="BodyText"/>
        <w:numPr>
          <w:ilvl w:val="0"/>
          <w:numId w:val="10"/>
        </w:numPr>
        <w:ind w:left="360"/>
      </w:pPr>
      <w:r>
        <w:t>D</w:t>
      </w:r>
      <w:r w:rsidR="00FB4278" w:rsidRPr="00DD5B16">
        <w:t>uplicate sedative use</w:t>
      </w:r>
      <w:r w:rsidR="00E9381D">
        <w:t xml:space="preserve"> (quarterly</w:t>
      </w:r>
      <w:r>
        <w:t>)</w:t>
      </w:r>
    </w:p>
    <w:p w14:paraId="05C16715" w14:textId="679C4A3F" w:rsidR="0030426D" w:rsidRPr="00DF169F" w:rsidRDefault="0030426D" w:rsidP="00FD371C">
      <w:pPr>
        <w:pStyle w:val="BodyText"/>
        <w:ind w:left="360"/>
      </w:pPr>
      <w:r w:rsidRPr="00086138">
        <w:t>The</w:t>
      </w:r>
      <w:r w:rsidRPr="00DD5B16">
        <w:t xml:space="preserve"> intervention that identifies therapeutic duplication of sedative/hypnotic agents</w:t>
      </w:r>
      <w:r>
        <w:t xml:space="preserve"> had another strong quarter.</w:t>
      </w:r>
      <w:r w:rsidRPr="00DF169F">
        <w:rPr>
          <w:i/>
          <w:iCs/>
        </w:rPr>
        <w:t xml:space="preserve"> </w:t>
      </w:r>
      <w:r>
        <w:t xml:space="preserve">Four </w:t>
      </w:r>
      <w:r w:rsidRPr="00DF169F">
        <w:t>recipient</w:t>
      </w:r>
      <w:r>
        <w:t>s</w:t>
      </w:r>
      <w:r w:rsidRPr="00DF169F">
        <w:t xml:space="preserve"> identified on </w:t>
      </w:r>
      <w:r>
        <w:t xml:space="preserve">the </w:t>
      </w:r>
      <w:r w:rsidRPr="00DF169F">
        <w:t xml:space="preserve">initial profile review met </w:t>
      </w:r>
      <w:r>
        <w:t xml:space="preserve">the </w:t>
      </w:r>
      <w:r w:rsidRPr="00DF169F">
        <w:t xml:space="preserve">criteria for duplicate therapy in the </w:t>
      </w:r>
      <w:r>
        <w:t>follow-up</w:t>
      </w:r>
      <w:r w:rsidRPr="00DF169F">
        <w:t xml:space="preserve"> period. This continues to be a successful intervention and </w:t>
      </w:r>
      <w:r>
        <w:t>is recommended for continuation. Quarterly reporting will begin in January 2023.</w:t>
      </w:r>
    </w:p>
    <w:p w14:paraId="011D5D2B" w14:textId="0482665E" w:rsidR="0030426D" w:rsidRDefault="0030426D" w:rsidP="00FD371C">
      <w:pPr>
        <w:pStyle w:val="BodyText"/>
        <w:numPr>
          <w:ilvl w:val="0"/>
          <w:numId w:val="10"/>
        </w:numPr>
        <w:ind w:left="360"/>
      </w:pPr>
      <w:r>
        <w:t>C</w:t>
      </w:r>
      <w:r w:rsidR="00FB4278" w:rsidRPr="00DD5B16">
        <w:t>oncurrent use of an opioid, benzodiazepine, and carisoprodol (</w:t>
      </w:r>
      <w:r w:rsidR="00FB4278">
        <w:t>bi-annual</w:t>
      </w:r>
      <w:r w:rsidR="00FB4278" w:rsidRPr="00DD5B16">
        <w:t>)</w:t>
      </w:r>
      <w:r w:rsidR="00FC4C72">
        <w:t xml:space="preserve"> </w:t>
      </w:r>
      <w:r w:rsidR="006C53F4">
        <w:br/>
        <w:t xml:space="preserve">No </w:t>
      </w:r>
      <w:r w:rsidR="00FC4C72">
        <w:t xml:space="preserve">participants </w:t>
      </w:r>
      <w:r w:rsidR="006C53F4">
        <w:t xml:space="preserve">were </w:t>
      </w:r>
      <w:r w:rsidR="00FC4C72">
        <w:t>identified</w:t>
      </w:r>
      <w:r w:rsidR="006C53F4">
        <w:t>.</w:t>
      </w:r>
    </w:p>
    <w:p w14:paraId="4425732F" w14:textId="0936D1BD" w:rsidR="0030426D" w:rsidRDefault="0030426D" w:rsidP="00FD371C">
      <w:pPr>
        <w:pStyle w:val="BodyText"/>
        <w:numPr>
          <w:ilvl w:val="0"/>
          <w:numId w:val="10"/>
        </w:numPr>
        <w:ind w:left="360"/>
      </w:pPr>
      <w:r>
        <w:t>C</w:t>
      </w:r>
      <w:r w:rsidR="00FB4278" w:rsidRPr="00DD5B16">
        <w:t>oncurrent use of gabapentin and pregabalin (quarterly)</w:t>
      </w:r>
      <w:r>
        <w:br/>
      </w:r>
      <w:r w:rsidRPr="0030426D">
        <w:t>Results for the concurrent use of gabapentin and pregabalin showed high effectiveness. Six recipients were identified on the initial profile review to meet the criteria for concurrent therapy in the follow-up period. Concurrence rate averaged 19%. This is a strong and effective educational effort and is recommended for continuation on a quarterly basis.</w:t>
      </w:r>
    </w:p>
    <w:p w14:paraId="4A83EB26" w14:textId="76582000" w:rsidR="006C53F4" w:rsidRDefault="006C53F4" w:rsidP="00FD371C">
      <w:pPr>
        <w:pStyle w:val="BodyText"/>
        <w:numPr>
          <w:ilvl w:val="0"/>
          <w:numId w:val="10"/>
        </w:numPr>
        <w:ind w:left="360"/>
      </w:pPr>
      <w:r>
        <w:t>Concurrent use of an opioid and medium-high dose gabapentin (quarterly)</w:t>
      </w:r>
    </w:p>
    <w:p w14:paraId="184E191D" w14:textId="3E1AA90D" w:rsidR="0030426D" w:rsidRDefault="006C53F4" w:rsidP="00FD371C">
      <w:pPr>
        <w:pStyle w:val="BodyText"/>
        <w:ind w:left="360"/>
      </w:pPr>
      <w:r>
        <w:t xml:space="preserve">Results showed a 65% reduction in May and 29% reduction in June. This was reflected by discontinuation of an opioid, lowered dose of gabapentin, or discontinuation of gabapentin in the six months after the educational intervention letters were sent. It is recommended to continue this intervention quarterly. </w:t>
      </w:r>
    </w:p>
    <w:p w14:paraId="692B116C" w14:textId="77777777" w:rsidR="0030426D" w:rsidRPr="00DF169F" w:rsidRDefault="0030426D" w:rsidP="0030426D">
      <w:pPr>
        <w:pStyle w:val="BodyText"/>
      </w:pPr>
    </w:p>
    <w:p w14:paraId="770F6258" w14:textId="77777777" w:rsidR="0030426D" w:rsidRPr="000C16FF" w:rsidRDefault="0030426D" w:rsidP="0030426D">
      <w:pPr>
        <w:pStyle w:val="BodyText"/>
        <w:rPr>
          <w:szCs w:val="28"/>
        </w:rPr>
      </w:pPr>
      <w:r>
        <w:rPr>
          <w:szCs w:val="28"/>
        </w:rPr>
        <w:t>T</w:t>
      </w:r>
      <w:r w:rsidRPr="00810103">
        <w:rPr>
          <w:szCs w:val="28"/>
        </w:rPr>
        <w:t>he</w:t>
      </w:r>
      <w:r>
        <w:rPr>
          <w:szCs w:val="28"/>
        </w:rPr>
        <w:t xml:space="preserve"> following </w:t>
      </w:r>
      <w:r w:rsidRPr="00810103">
        <w:rPr>
          <w:szCs w:val="28"/>
        </w:rPr>
        <w:t xml:space="preserve">interventions are mandated by the Support Act and were all initiated in August of 2021.  Since then, </w:t>
      </w:r>
      <w:r>
        <w:rPr>
          <w:szCs w:val="28"/>
        </w:rPr>
        <w:t xml:space="preserve">interventions have </w:t>
      </w:r>
      <w:r w:rsidRPr="00810103">
        <w:rPr>
          <w:szCs w:val="28"/>
        </w:rPr>
        <w:t xml:space="preserve">continued quarterly. </w:t>
      </w:r>
    </w:p>
    <w:p w14:paraId="243CB7E4" w14:textId="77777777" w:rsidR="0030426D" w:rsidRDefault="0030426D" w:rsidP="0030426D">
      <w:pPr>
        <w:pStyle w:val="BodyText"/>
        <w:rPr>
          <w:szCs w:val="28"/>
        </w:rPr>
      </w:pPr>
    </w:p>
    <w:p w14:paraId="2C82FC07" w14:textId="408C99B0" w:rsidR="0030426D" w:rsidRDefault="0030426D" w:rsidP="00FD371C">
      <w:pPr>
        <w:pStyle w:val="BodyText"/>
        <w:numPr>
          <w:ilvl w:val="0"/>
          <w:numId w:val="11"/>
        </w:numPr>
        <w:ind w:left="360"/>
        <w:rPr>
          <w:szCs w:val="28"/>
        </w:rPr>
      </w:pPr>
      <w:r>
        <w:rPr>
          <w:szCs w:val="28"/>
        </w:rPr>
        <w:t>Naloxone intervention</w:t>
      </w:r>
      <w:r w:rsidR="006C53F4">
        <w:rPr>
          <w:szCs w:val="28"/>
        </w:rPr>
        <w:t xml:space="preserve"> (quarterly)</w:t>
      </w:r>
      <w:r w:rsidR="006C53F4">
        <w:rPr>
          <w:szCs w:val="28"/>
        </w:rPr>
        <w:br/>
        <w:t>Continue quarterly review with 6-month outcomes.</w:t>
      </w:r>
      <w:r w:rsidR="00FD371C">
        <w:rPr>
          <w:szCs w:val="28"/>
        </w:rPr>
        <w:t xml:space="preserve"> </w:t>
      </w:r>
    </w:p>
    <w:p w14:paraId="428BB7F8" w14:textId="77777777" w:rsidR="0030426D" w:rsidRDefault="0030426D" w:rsidP="00FD371C">
      <w:pPr>
        <w:pStyle w:val="BodyText"/>
        <w:rPr>
          <w:szCs w:val="28"/>
        </w:rPr>
      </w:pPr>
    </w:p>
    <w:p w14:paraId="051D86E1" w14:textId="44294D26" w:rsidR="0030426D" w:rsidRDefault="006C53F4" w:rsidP="00FD371C">
      <w:pPr>
        <w:pStyle w:val="BodyText"/>
        <w:numPr>
          <w:ilvl w:val="0"/>
          <w:numId w:val="11"/>
        </w:numPr>
        <w:ind w:left="360"/>
        <w:rPr>
          <w:szCs w:val="28"/>
        </w:rPr>
      </w:pPr>
      <w:r>
        <w:rPr>
          <w:szCs w:val="28"/>
        </w:rPr>
        <w:t>C</w:t>
      </w:r>
      <w:r w:rsidR="0030426D" w:rsidRPr="00810103">
        <w:rPr>
          <w:szCs w:val="28"/>
        </w:rPr>
        <w:t>oncurrent opioid and benzodiazepine use</w:t>
      </w:r>
      <w:r w:rsidR="0030426D">
        <w:rPr>
          <w:szCs w:val="28"/>
        </w:rPr>
        <w:t xml:space="preserve"> </w:t>
      </w:r>
      <w:r>
        <w:rPr>
          <w:szCs w:val="28"/>
        </w:rPr>
        <w:t>(quarterly)</w:t>
      </w:r>
      <w:r>
        <w:rPr>
          <w:szCs w:val="28"/>
        </w:rPr>
        <w:br/>
      </w:r>
      <w:r>
        <w:rPr>
          <w:szCs w:val="28"/>
        </w:rPr>
        <w:lastRenderedPageBreak/>
        <w:t xml:space="preserve">Results </w:t>
      </w:r>
      <w:r w:rsidR="0030426D">
        <w:rPr>
          <w:szCs w:val="28"/>
        </w:rPr>
        <w:t xml:space="preserve">showed </w:t>
      </w:r>
      <w:r w:rsidR="0030426D" w:rsidRPr="00810103">
        <w:rPr>
          <w:szCs w:val="28"/>
        </w:rPr>
        <w:t xml:space="preserve">a </w:t>
      </w:r>
      <w:r w:rsidR="0030426D">
        <w:rPr>
          <w:szCs w:val="28"/>
        </w:rPr>
        <w:t>17.5</w:t>
      </w:r>
      <w:r w:rsidR="0030426D" w:rsidRPr="00810103">
        <w:rPr>
          <w:szCs w:val="28"/>
        </w:rPr>
        <w:t>% recurrence rate for recipients identified as using both an opioid and a benzodiazepine</w:t>
      </w:r>
      <w:r w:rsidR="0030426D">
        <w:rPr>
          <w:szCs w:val="28"/>
        </w:rPr>
        <w:t xml:space="preserve">. This </w:t>
      </w:r>
      <w:r w:rsidR="0030426D" w:rsidRPr="00810103">
        <w:rPr>
          <w:szCs w:val="28"/>
        </w:rPr>
        <w:t xml:space="preserve">means that </w:t>
      </w:r>
      <w:r w:rsidR="0030426D">
        <w:rPr>
          <w:szCs w:val="28"/>
        </w:rPr>
        <w:t xml:space="preserve">over 82% </w:t>
      </w:r>
      <w:r w:rsidR="0030426D" w:rsidRPr="00810103">
        <w:rPr>
          <w:szCs w:val="28"/>
        </w:rPr>
        <w:t>of patients saw concurrent therapy discontinued during the post-intervention period.</w:t>
      </w:r>
    </w:p>
    <w:p w14:paraId="58CC1AC9" w14:textId="77777777" w:rsidR="0030426D" w:rsidRDefault="0030426D" w:rsidP="0030426D">
      <w:pPr>
        <w:pStyle w:val="BodyText"/>
        <w:rPr>
          <w:szCs w:val="28"/>
        </w:rPr>
      </w:pPr>
    </w:p>
    <w:p w14:paraId="292C81F0" w14:textId="6C77B6EC" w:rsidR="0030426D" w:rsidRPr="00810103" w:rsidRDefault="006C53F4" w:rsidP="00FD371C">
      <w:pPr>
        <w:pStyle w:val="BodyText"/>
        <w:numPr>
          <w:ilvl w:val="0"/>
          <w:numId w:val="11"/>
        </w:numPr>
        <w:ind w:left="360"/>
        <w:rPr>
          <w:szCs w:val="28"/>
        </w:rPr>
      </w:pPr>
      <w:r>
        <w:rPr>
          <w:szCs w:val="28"/>
        </w:rPr>
        <w:t>C</w:t>
      </w:r>
      <w:r w:rsidR="0030426D" w:rsidRPr="00810103">
        <w:rPr>
          <w:szCs w:val="28"/>
        </w:rPr>
        <w:t>oncurrent use of an opioid and antipsychotic</w:t>
      </w:r>
      <w:r w:rsidR="0030426D">
        <w:rPr>
          <w:szCs w:val="28"/>
        </w:rPr>
        <w:t xml:space="preserve"> </w:t>
      </w:r>
      <w:r>
        <w:rPr>
          <w:szCs w:val="28"/>
        </w:rPr>
        <w:t>(quarterly)</w:t>
      </w:r>
      <w:r>
        <w:rPr>
          <w:szCs w:val="28"/>
        </w:rPr>
        <w:br/>
        <w:t xml:space="preserve">Results </w:t>
      </w:r>
      <w:r w:rsidR="0030426D">
        <w:rPr>
          <w:szCs w:val="28"/>
        </w:rPr>
        <w:t>saw r</w:t>
      </w:r>
      <w:r w:rsidR="0030426D" w:rsidRPr="00810103">
        <w:rPr>
          <w:szCs w:val="28"/>
        </w:rPr>
        <w:t xml:space="preserve">ecurrence rates </w:t>
      </w:r>
      <w:r w:rsidR="0030426D">
        <w:rPr>
          <w:szCs w:val="28"/>
        </w:rPr>
        <w:t xml:space="preserve">lower than the </w:t>
      </w:r>
      <w:r w:rsidR="0030426D" w:rsidRPr="00810103">
        <w:rPr>
          <w:szCs w:val="28"/>
        </w:rPr>
        <w:t>previous intervention</w:t>
      </w:r>
      <w:r w:rsidR="0030426D">
        <w:rPr>
          <w:szCs w:val="28"/>
        </w:rPr>
        <w:t>, from 34</w:t>
      </w:r>
      <w:r>
        <w:rPr>
          <w:szCs w:val="28"/>
        </w:rPr>
        <w:t>%</w:t>
      </w:r>
      <w:r w:rsidR="0030426D">
        <w:rPr>
          <w:szCs w:val="28"/>
        </w:rPr>
        <w:t xml:space="preserve"> to 11%</w:t>
      </w:r>
      <w:r w:rsidR="0030426D" w:rsidRPr="00810103">
        <w:rPr>
          <w:szCs w:val="28"/>
        </w:rPr>
        <w:t xml:space="preserve"> during the post-intervention period. </w:t>
      </w:r>
    </w:p>
    <w:p w14:paraId="2B81A3C3" w14:textId="77777777" w:rsidR="0030426D" w:rsidRDefault="0030426D" w:rsidP="0030426D">
      <w:pPr>
        <w:pStyle w:val="BodyText"/>
        <w:rPr>
          <w:szCs w:val="28"/>
        </w:rPr>
      </w:pPr>
    </w:p>
    <w:p w14:paraId="01BA371F" w14:textId="45FCDC60" w:rsidR="00FB4278" w:rsidRDefault="00FB4278" w:rsidP="0030426D">
      <w:pPr>
        <w:pStyle w:val="BodyText"/>
      </w:pPr>
      <w:r w:rsidRPr="00DD5B16">
        <w:t xml:space="preserve">Intervention outcomes for all active interventions will continue to be shared </w:t>
      </w:r>
      <w:r w:rsidR="0030426D">
        <w:t xml:space="preserve">regularly </w:t>
      </w:r>
      <w:r w:rsidRPr="00DD5B16">
        <w:t xml:space="preserve">at </w:t>
      </w:r>
      <w:r w:rsidR="0030426D">
        <w:t xml:space="preserve">Board </w:t>
      </w:r>
      <w:r w:rsidRPr="00DD5B16">
        <w:t>meetings as results become available.</w:t>
      </w:r>
    </w:p>
    <w:p w14:paraId="5FE14C3E" w14:textId="77777777" w:rsidR="00FB4278" w:rsidRDefault="00FB4278" w:rsidP="00FB4278">
      <w:pPr>
        <w:pStyle w:val="BodyText"/>
      </w:pPr>
    </w:p>
    <w:p w14:paraId="5969AA50" w14:textId="77777777" w:rsidR="00FB4278" w:rsidRPr="00DD5B16" w:rsidRDefault="00FB4278" w:rsidP="00FB4278">
      <w:pPr>
        <w:rPr>
          <w:i/>
          <w:sz w:val="24"/>
        </w:rPr>
      </w:pPr>
      <w:r w:rsidRPr="00DD5B16">
        <w:rPr>
          <w:i/>
          <w:sz w:val="24"/>
        </w:rPr>
        <w:t>Retrospective DUR Quarterly Summary</w:t>
      </w:r>
    </w:p>
    <w:p w14:paraId="45B79288" w14:textId="77777777" w:rsidR="00FB4278" w:rsidRPr="00DD5B16" w:rsidRDefault="00FB4278" w:rsidP="00FB4278">
      <w:pPr>
        <w:pStyle w:val="BodyText"/>
        <w:rPr>
          <w:i/>
          <w:sz w:val="22"/>
        </w:rPr>
      </w:pPr>
    </w:p>
    <w:p w14:paraId="2E7D5295" w14:textId="09926609" w:rsidR="00FB4278" w:rsidRPr="00DD5B16" w:rsidRDefault="00FB4278" w:rsidP="00FB4278">
      <w:pPr>
        <w:pStyle w:val="BodyText"/>
      </w:pPr>
      <w:r w:rsidRPr="00DD5B16">
        <w:t xml:space="preserve">During the </w:t>
      </w:r>
      <w:r w:rsidR="00FB44B7">
        <w:t>second</w:t>
      </w:r>
      <w:r w:rsidR="00E8200E">
        <w:t xml:space="preserve"> </w:t>
      </w:r>
      <w:r>
        <w:t>quarter</w:t>
      </w:r>
      <w:r w:rsidRPr="00DD5B16">
        <w:t xml:space="preserve"> of 202</w:t>
      </w:r>
      <w:r w:rsidR="00E8200E">
        <w:t>2</w:t>
      </w:r>
      <w:r w:rsidRPr="00DD5B16">
        <w:t xml:space="preserve">, educational intervention letters were sent to prescribers and pharmacy providers for 1) duplicate sedative use, 2) opioid and medium-high dose gabapentin use, and </w:t>
      </w:r>
      <w:r>
        <w:t>3</w:t>
      </w:r>
      <w:r w:rsidRPr="00DD5B16">
        <w:t xml:space="preserve">) </w:t>
      </w:r>
      <w:r w:rsidR="00E9381D">
        <w:t xml:space="preserve">concurrent gabapentin and pregabalin use. </w:t>
      </w:r>
      <w:r w:rsidR="005449BE">
        <w:t xml:space="preserve">More cases were selected for interventions this quarter. </w:t>
      </w:r>
      <w:r w:rsidR="00650D9E" w:rsidRPr="00650D9E">
        <w:t xml:space="preserve">Response rates for prescribers </w:t>
      </w:r>
      <w:r w:rsidR="00473331">
        <w:t xml:space="preserve">and pharmacies </w:t>
      </w:r>
      <w:r w:rsidR="00650D9E" w:rsidRPr="00650D9E">
        <w:t>remained</w:t>
      </w:r>
      <w:r w:rsidR="005449BE">
        <w:t xml:space="preserve"> similar</w:t>
      </w:r>
      <w:r w:rsidR="00650D9E" w:rsidRPr="00650D9E">
        <w:t>.</w:t>
      </w:r>
    </w:p>
    <w:p w14:paraId="18D5FC8B" w14:textId="46C1C847" w:rsidR="00FB4278" w:rsidRDefault="00FB4278" w:rsidP="00FB4278">
      <w:pPr>
        <w:pStyle w:val="BodyText"/>
        <w:rPr>
          <w:sz w:val="23"/>
        </w:rPr>
      </w:pPr>
    </w:p>
    <w:p w14:paraId="64460EE0" w14:textId="53D902B7" w:rsidR="00FB4278" w:rsidRPr="00651678" w:rsidRDefault="00FB4278" w:rsidP="00FB4278">
      <w:pPr>
        <w:pStyle w:val="BodyText"/>
        <w:rPr>
          <w:i/>
          <w:iCs/>
        </w:rPr>
      </w:pPr>
      <w:r w:rsidRPr="002C2B98">
        <w:t xml:space="preserve">The intervention for duplicative sedative use saw a total of </w:t>
      </w:r>
      <w:r w:rsidR="005449BE">
        <w:t>4</w:t>
      </w:r>
      <w:r w:rsidR="00650D9E">
        <w:t>8</w:t>
      </w:r>
      <w:r w:rsidRPr="002C2B98">
        <w:t xml:space="preserve"> participants flagged for intervention and </w:t>
      </w:r>
      <w:r w:rsidR="005449BE">
        <w:t>119</w:t>
      </w:r>
      <w:r w:rsidRPr="002C2B98">
        <w:t xml:space="preserve"> </w:t>
      </w:r>
      <w:r w:rsidRPr="00127EA1">
        <w:t xml:space="preserve">intervention letters mailed, with an average response rate of </w:t>
      </w:r>
      <w:r w:rsidR="005449BE">
        <w:t>22</w:t>
      </w:r>
      <w:r w:rsidRPr="00127EA1">
        <w:t xml:space="preserve">% (prescribers) and </w:t>
      </w:r>
      <w:r w:rsidR="005449BE">
        <w:t>27</w:t>
      </w:r>
      <w:r w:rsidRPr="00127EA1">
        <w:t>% (pharmacies). The top responses were “</w:t>
      </w:r>
      <w:r w:rsidR="007E0923">
        <w:t>Benefit of the drug outweighs the risks”</w:t>
      </w:r>
      <w:r w:rsidRPr="00127EA1">
        <w:t xml:space="preserve"> and “</w:t>
      </w:r>
      <w:r w:rsidR="00657411">
        <w:t>Pharmacist will counsel patient at next visit</w:t>
      </w:r>
      <w:r w:rsidRPr="00127EA1">
        <w:t>”.</w:t>
      </w:r>
      <w:r w:rsidRPr="00651678">
        <w:rPr>
          <w:i/>
          <w:iCs/>
        </w:rPr>
        <w:t xml:space="preserve">   </w:t>
      </w:r>
    </w:p>
    <w:p w14:paraId="6EB591EC" w14:textId="77777777" w:rsidR="00FB4278" w:rsidRPr="00651678" w:rsidRDefault="00FB4278" w:rsidP="00FB4278">
      <w:pPr>
        <w:pStyle w:val="BodyText"/>
        <w:rPr>
          <w:i/>
          <w:iCs/>
          <w:sz w:val="23"/>
        </w:rPr>
      </w:pPr>
    </w:p>
    <w:p w14:paraId="46ABEFD0" w14:textId="498CA931" w:rsidR="00FB4278" w:rsidRDefault="00FB4278" w:rsidP="00FB4278">
      <w:pPr>
        <w:pStyle w:val="BodyText"/>
        <w:rPr>
          <w:i/>
          <w:iCs/>
        </w:rPr>
      </w:pPr>
      <w:r w:rsidRPr="002C2B98">
        <w:t>For the intervention for concurrent use of opioid and med</w:t>
      </w:r>
      <w:r w:rsidR="00E9381D">
        <w:t>ium</w:t>
      </w:r>
      <w:r w:rsidRPr="002C2B98">
        <w:t xml:space="preserve">-high dose gabapentin, a total of </w:t>
      </w:r>
      <w:r w:rsidR="00650D9E">
        <w:t>1</w:t>
      </w:r>
      <w:r w:rsidR="005449BE">
        <w:t>83</w:t>
      </w:r>
      <w:r w:rsidRPr="002C2B98">
        <w:t xml:space="preserve"> participants were selected for intervention and </w:t>
      </w:r>
      <w:r w:rsidR="005449BE">
        <w:t>576</w:t>
      </w:r>
      <w:r w:rsidRPr="002C2B98">
        <w:t xml:space="preserve"> letters were mailed, with a response rate of </w:t>
      </w:r>
      <w:r w:rsidR="005449BE">
        <w:t>9</w:t>
      </w:r>
      <w:r w:rsidRPr="002C2B98">
        <w:t>% (</w:t>
      </w:r>
      <w:r w:rsidRPr="00127EA1">
        <w:t xml:space="preserve">prescribers) and </w:t>
      </w:r>
      <w:r w:rsidR="00650D9E">
        <w:t>2</w:t>
      </w:r>
      <w:r w:rsidR="005449BE">
        <w:t>2</w:t>
      </w:r>
      <w:r w:rsidRPr="00127EA1">
        <w:t>% (pharmacies). The top responses were “</w:t>
      </w:r>
      <w:r w:rsidR="00416EC7">
        <w:t>Benefits outweigh the risks</w:t>
      </w:r>
      <w:r w:rsidRPr="00127EA1">
        <w:t>” and “</w:t>
      </w:r>
      <w:r w:rsidR="00DF6340">
        <w:t>Pharmacist will counsel patient at next visit</w:t>
      </w:r>
      <w:r w:rsidRPr="00127EA1">
        <w:t>”.</w:t>
      </w:r>
    </w:p>
    <w:p w14:paraId="4D1BD9C0" w14:textId="77777777" w:rsidR="00FB4278" w:rsidRPr="00651678" w:rsidRDefault="00FB4278" w:rsidP="00FB4278">
      <w:pPr>
        <w:pStyle w:val="BodyText"/>
        <w:rPr>
          <w:i/>
          <w:iCs/>
          <w:sz w:val="23"/>
        </w:rPr>
      </w:pPr>
    </w:p>
    <w:p w14:paraId="407D76C3" w14:textId="300E098F" w:rsidR="00FB4278" w:rsidRDefault="00FB4278" w:rsidP="00FB4278">
      <w:pPr>
        <w:pStyle w:val="BodyText"/>
        <w:rPr>
          <w:i/>
          <w:iCs/>
        </w:rPr>
      </w:pPr>
      <w:r w:rsidRPr="002C2B98">
        <w:t xml:space="preserve">A total of </w:t>
      </w:r>
      <w:r w:rsidR="005449BE">
        <w:t>114</w:t>
      </w:r>
      <w:r w:rsidRPr="002C2B98">
        <w:t xml:space="preserve"> participants were flagged for </w:t>
      </w:r>
      <w:r w:rsidR="00E9381D">
        <w:t>concurrent gabapentin and pregabalin</w:t>
      </w:r>
      <w:r w:rsidRPr="002C2B98">
        <w:t xml:space="preserve">, and </w:t>
      </w:r>
      <w:r w:rsidR="005449BE">
        <w:t>345</w:t>
      </w:r>
      <w:r w:rsidRPr="002C2B98">
        <w:t xml:space="preserve"> intervention letters were mailed, with a response rate of </w:t>
      </w:r>
      <w:r w:rsidR="00E9381D">
        <w:t>1</w:t>
      </w:r>
      <w:r w:rsidR="005449BE">
        <w:t>4</w:t>
      </w:r>
      <w:r w:rsidRPr="002C2B98">
        <w:t xml:space="preserve">% (prescribers) and </w:t>
      </w:r>
      <w:r w:rsidR="00E9381D">
        <w:t>2</w:t>
      </w:r>
      <w:r w:rsidR="005449BE">
        <w:t>7</w:t>
      </w:r>
      <w:r w:rsidRPr="002C2B98">
        <w:t xml:space="preserve">% (pharmacies). The top </w:t>
      </w:r>
      <w:r w:rsidRPr="00127EA1">
        <w:t>responses were “</w:t>
      </w:r>
      <w:r w:rsidR="00BC740C">
        <w:t>Prescriber discontinued medication(s)</w:t>
      </w:r>
      <w:r w:rsidRPr="00127EA1">
        <w:t>” and “</w:t>
      </w:r>
      <w:r w:rsidR="00DF6340">
        <w:t>Pharmacist will counsel patient at next visit</w:t>
      </w:r>
      <w:r w:rsidRPr="00127EA1">
        <w:t>”.</w:t>
      </w:r>
      <w:r w:rsidRPr="002C2B98">
        <w:rPr>
          <w:i/>
          <w:iCs/>
        </w:rPr>
        <w:t xml:space="preserve">  </w:t>
      </w:r>
    </w:p>
    <w:p w14:paraId="2841F2C7" w14:textId="5BFA3485" w:rsidR="00FB4278" w:rsidRDefault="00FB4278" w:rsidP="00FB4278">
      <w:pPr>
        <w:pStyle w:val="BodyText"/>
      </w:pPr>
    </w:p>
    <w:p w14:paraId="6FFB2A0D" w14:textId="45F48E07" w:rsidR="005449BE" w:rsidRPr="002C2B98" w:rsidRDefault="005449BE" w:rsidP="005449BE">
      <w:pPr>
        <w:pStyle w:val="BodyText"/>
        <w:rPr>
          <w:i/>
          <w:iCs/>
        </w:rPr>
      </w:pPr>
      <w:r w:rsidRPr="002C2B98">
        <w:t xml:space="preserve">For the intervention for </w:t>
      </w:r>
      <w:r>
        <w:t>naloxone</w:t>
      </w:r>
      <w:r w:rsidRPr="002C2B98">
        <w:t xml:space="preserve">, a total of </w:t>
      </w:r>
      <w:r>
        <w:t>23</w:t>
      </w:r>
      <w:r w:rsidRPr="002C2B98">
        <w:t xml:space="preserve"> participants were selected for intervention and </w:t>
      </w:r>
      <w:r>
        <w:t>47</w:t>
      </w:r>
      <w:r w:rsidRPr="002C2B98">
        <w:t xml:space="preserve"> letters were mailed, with a response rate of </w:t>
      </w:r>
      <w:r>
        <w:t>0</w:t>
      </w:r>
      <w:r w:rsidRPr="002C2B98">
        <w:t xml:space="preserve">% (prescribers) and </w:t>
      </w:r>
      <w:r>
        <w:t>22</w:t>
      </w:r>
      <w:r w:rsidRPr="002C2B98">
        <w:t xml:space="preserve">% (pharmacies). The </w:t>
      </w:r>
      <w:r w:rsidRPr="00127EA1">
        <w:t>top response</w:t>
      </w:r>
      <w:r>
        <w:t>s</w:t>
      </w:r>
      <w:r w:rsidR="00B958E9">
        <w:t xml:space="preserve"> </w:t>
      </w:r>
      <w:proofErr w:type="gramStart"/>
      <w:r w:rsidR="00B958E9">
        <w:t>was</w:t>
      </w:r>
      <w:proofErr w:type="gramEnd"/>
      <w:r>
        <w:t xml:space="preserve"> “Pharmacist will counsel patient at next visit”</w:t>
      </w:r>
      <w:r w:rsidRPr="00127EA1">
        <w:t>.</w:t>
      </w:r>
    </w:p>
    <w:p w14:paraId="11892BDD" w14:textId="77777777" w:rsidR="005449BE" w:rsidRDefault="005449BE" w:rsidP="005449BE">
      <w:pPr>
        <w:pStyle w:val="BodyText"/>
      </w:pPr>
    </w:p>
    <w:p w14:paraId="56646991" w14:textId="4495294F" w:rsidR="005449BE" w:rsidRDefault="005449BE" w:rsidP="005449BE">
      <w:pPr>
        <w:pStyle w:val="BodyText"/>
      </w:pPr>
      <w:r w:rsidRPr="002C2B98">
        <w:t>For the intervention for concurrent use of</w:t>
      </w:r>
      <w:r>
        <w:t xml:space="preserve"> an</w:t>
      </w:r>
      <w:r w:rsidRPr="002C2B98">
        <w:t xml:space="preserve"> opioid and </w:t>
      </w:r>
      <w:r>
        <w:t>benzodiazepine</w:t>
      </w:r>
      <w:r w:rsidRPr="002C2B98">
        <w:t xml:space="preserve">, a total of </w:t>
      </w:r>
      <w:r>
        <w:t>139</w:t>
      </w:r>
      <w:r w:rsidRPr="002C2B98">
        <w:t xml:space="preserve"> participants were selected for intervention and </w:t>
      </w:r>
      <w:r>
        <w:t>457</w:t>
      </w:r>
      <w:r w:rsidRPr="002C2B98">
        <w:t xml:space="preserve"> letters were mailed, with a response rate of </w:t>
      </w:r>
      <w:r>
        <w:t>7</w:t>
      </w:r>
      <w:r w:rsidRPr="002C2B98">
        <w:t xml:space="preserve">% (prescribers) and </w:t>
      </w:r>
      <w:r>
        <w:t>16</w:t>
      </w:r>
      <w:r w:rsidRPr="002C2B98">
        <w:t xml:space="preserve">% (pharmacies). The </w:t>
      </w:r>
      <w:r w:rsidRPr="00127EA1">
        <w:t>top responses were “</w:t>
      </w:r>
      <w:r>
        <w:t xml:space="preserve">Prescriber </w:t>
      </w:r>
      <w:r w:rsidR="00B958E9">
        <w:t>did not prescribe drug attributed to them</w:t>
      </w:r>
      <w:r w:rsidRPr="00127EA1">
        <w:t>” and “</w:t>
      </w:r>
      <w:r>
        <w:t>Spoke to prescriber; no change in therapy</w:t>
      </w:r>
      <w:r w:rsidRPr="00127EA1">
        <w:t>.”</w:t>
      </w:r>
      <w:r>
        <w:t xml:space="preserve"> </w:t>
      </w:r>
    </w:p>
    <w:p w14:paraId="6532C6ED" w14:textId="77777777" w:rsidR="005449BE" w:rsidRDefault="005449BE" w:rsidP="005449BE">
      <w:pPr>
        <w:pStyle w:val="BodyText"/>
      </w:pPr>
    </w:p>
    <w:p w14:paraId="68065779" w14:textId="77777777" w:rsidR="005449BE" w:rsidRPr="005449BE" w:rsidRDefault="005449BE" w:rsidP="005449BE">
      <w:pPr>
        <w:pStyle w:val="BodyText"/>
        <w:rPr>
          <w:sz w:val="22"/>
        </w:rPr>
      </w:pPr>
      <w:r w:rsidRPr="002C2B98">
        <w:t xml:space="preserve">The intervention for </w:t>
      </w:r>
      <w:r>
        <w:t xml:space="preserve">concurrent opioid and antipsychotic use </w:t>
      </w:r>
      <w:r w:rsidRPr="002C2B98">
        <w:t xml:space="preserve">saw a total of </w:t>
      </w:r>
      <w:r>
        <w:t>143</w:t>
      </w:r>
      <w:r w:rsidRPr="002C2B98">
        <w:t xml:space="preserve"> participants flagged for intervention and </w:t>
      </w:r>
      <w:r>
        <w:t>479</w:t>
      </w:r>
      <w:r w:rsidRPr="002C2B98">
        <w:t xml:space="preserve"> intervention letters mailed, with an average response rate of </w:t>
      </w:r>
      <w:r>
        <w:lastRenderedPageBreak/>
        <w:t>8</w:t>
      </w:r>
      <w:r w:rsidRPr="002C2B98">
        <w:t xml:space="preserve">% (prescribers) and </w:t>
      </w:r>
      <w:r w:rsidRPr="00127EA1">
        <w:t>1</w:t>
      </w:r>
      <w:r>
        <w:t>7</w:t>
      </w:r>
      <w:r w:rsidRPr="00127EA1">
        <w:t>% (pharmacies). The top responses were “</w:t>
      </w:r>
      <w:r>
        <w:t>Benefits of the drug therapy outweigh the risk</w:t>
      </w:r>
      <w:r w:rsidRPr="00127EA1">
        <w:t>” and “Pharmacist will counsel patient at</w:t>
      </w:r>
      <w:r>
        <w:t xml:space="preserve"> next visit”. </w:t>
      </w:r>
    </w:p>
    <w:p w14:paraId="5656B3F1" w14:textId="77777777" w:rsidR="005449BE" w:rsidRDefault="005449BE" w:rsidP="005449BE">
      <w:pPr>
        <w:pStyle w:val="BodyText"/>
      </w:pPr>
    </w:p>
    <w:p w14:paraId="3E9ADF79" w14:textId="7692B12B" w:rsidR="00FB4278" w:rsidRDefault="00FB4278" w:rsidP="00FB4278">
      <w:pPr>
        <w:pStyle w:val="BodyText"/>
      </w:pPr>
      <w:r w:rsidRPr="00127EA1">
        <w:t xml:space="preserve">Follow-up occurred for </w:t>
      </w:r>
      <w:r>
        <w:t xml:space="preserve">those </w:t>
      </w:r>
      <w:r w:rsidRPr="00127EA1">
        <w:t>provider</w:t>
      </w:r>
      <w:r>
        <w:t>s</w:t>
      </w:r>
      <w:r w:rsidRPr="00127EA1">
        <w:t xml:space="preserve"> respon</w:t>
      </w:r>
      <w:r>
        <w:t xml:space="preserve">ding with </w:t>
      </w:r>
      <w:r w:rsidRPr="00127EA1">
        <w:t>“Provider did not prescribe drug attributed to him/her” and no fraudulent activity was identified.</w:t>
      </w:r>
      <w:r w:rsidR="007F72EF">
        <w:t xml:space="preserve"> </w:t>
      </w:r>
      <w:r w:rsidR="00416EC7">
        <w:t xml:space="preserve">One was a hospital </w:t>
      </w:r>
      <w:r w:rsidR="007C53F4">
        <w:t>discharge prescription.</w:t>
      </w:r>
      <w:r w:rsidR="00416EC7">
        <w:t xml:space="preserve"> </w:t>
      </w:r>
      <w:r w:rsidR="00765719" w:rsidRPr="00D111C0">
        <w:t>I</w:t>
      </w:r>
      <w:r w:rsidR="007F72EF" w:rsidRPr="00D111C0">
        <w:t xml:space="preserve">n </w:t>
      </w:r>
      <w:r w:rsidR="00416EC7">
        <w:t xml:space="preserve">the remaining </w:t>
      </w:r>
      <w:r w:rsidR="007F72EF" w:rsidRPr="00D111C0">
        <w:t>situations</w:t>
      </w:r>
      <w:r w:rsidR="00F86529">
        <w:t>,</w:t>
      </w:r>
      <w:r w:rsidR="007F72EF" w:rsidRPr="00D111C0">
        <w:t xml:space="preserve"> the</w:t>
      </w:r>
      <w:r w:rsidR="007F72EF">
        <w:t xml:space="preserve"> </w:t>
      </w:r>
      <w:r w:rsidR="007F72EF" w:rsidRPr="00BC740C">
        <w:t xml:space="preserve">responding prescriber did prescribe at least </w:t>
      </w:r>
      <w:r w:rsidR="007F72EF">
        <w:t>one</w:t>
      </w:r>
      <w:r w:rsidR="007F72EF" w:rsidRPr="00BC740C">
        <w:t xml:space="preserve"> of the interacting </w:t>
      </w:r>
      <w:r w:rsidR="00567D1D" w:rsidRPr="00BC740C">
        <w:t>medications</w:t>
      </w:r>
      <w:r w:rsidR="00567D1D">
        <w:t xml:space="preserve"> but</w:t>
      </w:r>
      <w:r w:rsidR="007F72EF">
        <w:t xml:space="preserve"> used that response to indicate that they </w:t>
      </w:r>
      <w:r w:rsidR="007F72EF" w:rsidRPr="00BC740C">
        <w:t xml:space="preserve">only prescribed one of the </w:t>
      </w:r>
      <w:r w:rsidR="007F72EF">
        <w:t>two</w:t>
      </w:r>
      <w:r w:rsidR="007F72EF" w:rsidRPr="00BC740C">
        <w:t xml:space="preserve"> interacting medications.</w:t>
      </w:r>
    </w:p>
    <w:p w14:paraId="74A3AFD6" w14:textId="469D9044" w:rsidR="008C72C6" w:rsidRDefault="008C72C6" w:rsidP="00FB4278">
      <w:pPr>
        <w:pStyle w:val="BodyText"/>
      </w:pPr>
    </w:p>
    <w:p w14:paraId="6B5B4744" w14:textId="77777777" w:rsidR="00FB4278" w:rsidRPr="00DD5B16" w:rsidRDefault="00FB4278" w:rsidP="00FB4278">
      <w:pPr>
        <w:rPr>
          <w:i/>
          <w:sz w:val="24"/>
        </w:rPr>
      </w:pPr>
      <w:r w:rsidRPr="00DD5B16">
        <w:rPr>
          <w:i/>
          <w:sz w:val="24"/>
        </w:rPr>
        <w:t>Future Retrospective DUR Intervention</w:t>
      </w:r>
    </w:p>
    <w:p w14:paraId="27C9E7FA" w14:textId="77777777" w:rsidR="00FB4278" w:rsidRPr="00DD5B16" w:rsidRDefault="00FB4278" w:rsidP="00FB4278">
      <w:pPr>
        <w:pStyle w:val="BodyText"/>
        <w:rPr>
          <w:i/>
        </w:rPr>
      </w:pPr>
    </w:p>
    <w:p w14:paraId="07D5276F" w14:textId="78AB51CE" w:rsidR="00FB4278" w:rsidRPr="00DD5B16" w:rsidRDefault="00FB4278" w:rsidP="00FB4278">
      <w:pPr>
        <w:pStyle w:val="BodyText"/>
      </w:pPr>
      <w:r w:rsidRPr="00DD5B16">
        <w:t xml:space="preserve">The following new criteria </w:t>
      </w:r>
      <w:r w:rsidR="00B958E9">
        <w:t>was</w:t>
      </w:r>
      <w:r w:rsidRPr="00DD5B16">
        <w:t xml:space="preserve"> recommended for monthly monitoring under clinical criteria maintenance:</w:t>
      </w:r>
    </w:p>
    <w:p w14:paraId="668D69EB" w14:textId="77777777" w:rsidR="002526E0" w:rsidRPr="002526E0" w:rsidRDefault="002526E0" w:rsidP="00FD371C">
      <w:pPr>
        <w:pStyle w:val="BodyText"/>
        <w:numPr>
          <w:ilvl w:val="0"/>
          <w:numId w:val="12"/>
        </w:numPr>
        <w:rPr>
          <w:iCs/>
        </w:rPr>
      </w:pPr>
      <w:proofErr w:type="spellStart"/>
      <w:r w:rsidRPr="002526E0">
        <w:rPr>
          <w:iCs/>
        </w:rPr>
        <w:t>Quviviq</w:t>
      </w:r>
      <w:proofErr w:type="spellEnd"/>
      <w:r w:rsidRPr="002526E0">
        <w:rPr>
          <w:iCs/>
        </w:rPr>
        <w:t>™ (</w:t>
      </w:r>
      <w:proofErr w:type="spellStart"/>
      <w:r w:rsidRPr="002526E0">
        <w:rPr>
          <w:iCs/>
        </w:rPr>
        <w:t>daridorexant</w:t>
      </w:r>
      <w:proofErr w:type="spellEnd"/>
      <w:r w:rsidRPr="002526E0">
        <w:rPr>
          <w:iCs/>
        </w:rPr>
        <w:t>)</w:t>
      </w:r>
    </w:p>
    <w:p w14:paraId="5A253FA6" w14:textId="77777777" w:rsidR="002526E0" w:rsidRPr="002526E0" w:rsidRDefault="002526E0" w:rsidP="00FD371C">
      <w:pPr>
        <w:pStyle w:val="BodyText"/>
        <w:ind w:left="720" w:firstLine="360"/>
        <w:rPr>
          <w:i/>
        </w:rPr>
      </w:pPr>
      <w:r w:rsidRPr="002526E0">
        <w:rPr>
          <w:i/>
        </w:rPr>
        <w:t>Overutilization, duplicate sedative/hypnotic</w:t>
      </w:r>
    </w:p>
    <w:p w14:paraId="229E0E2F" w14:textId="77777777" w:rsidR="005804B5" w:rsidRPr="00567D1D" w:rsidRDefault="005804B5" w:rsidP="00FB4278">
      <w:pPr>
        <w:pStyle w:val="BodyText"/>
        <w:rPr>
          <w:iCs/>
          <w:sz w:val="22"/>
        </w:rPr>
      </w:pPr>
    </w:p>
    <w:p w14:paraId="5134E607" w14:textId="3D7EBE8C" w:rsidR="0001621E" w:rsidRDefault="008C72C6" w:rsidP="00FB4278">
      <w:pPr>
        <w:pStyle w:val="BodyText"/>
      </w:pPr>
      <w:r>
        <w:t>T</w:t>
      </w:r>
      <w:r w:rsidR="00FB4278" w:rsidRPr="00A40883">
        <w:t xml:space="preserve">he motion was made to </w:t>
      </w:r>
      <w:r w:rsidR="00FB4278">
        <w:t xml:space="preserve">add </w:t>
      </w:r>
      <w:r>
        <w:t>the</w:t>
      </w:r>
      <w:r w:rsidR="00FB4278" w:rsidRPr="00A40883">
        <w:t xml:space="preserve"> criteria recommended</w:t>
      </w:r>
      <w:r w:rsidR="00FB4278">
        <w:t xml:space="preserve"> to monthly monitoring. Mo</w:t>
      </w:r>
      <w:r w:rsidR="00FB4278" w:rsidRPr="00A40883">
        <w:t>tion passed.</w:t>
      </w:r>
      <w:r w:rsidR="006E3026">
        <w:t xml:space="preserve"> </w:t>
      </w:r>
    </w:p>
    <w:p w14:paraId="6D71196E" w14:textId="666F4B46" w:rsidR="0001621E" w:rsidRDefault="0001621E" w:rsidP="00FB4278">
      <w:pPr>
        <w:pStyle w:val="BodyText"/>
      </w:pPr>
    </w:p>
    <w:p w14:paraId="0F4716DC" w14:textId="77777777" w:rsidR="00FD371C" w:rsidRDefault="00B958E9" w:rsidP="00FB4278">
      <w:pPr>
        <w:pStyle w:val="BodyText"/>
      </w:pPr>
      <w:r>
        <w:t xml:space="preserve">Based on the Board’s request, </w:t>
      </w:r>
      <w:r w:rsidR="00D111C0">
        <w:t xml:space="preserve">the MDH/Kepro </w:t>
      </w:r>
      <w:r w:rsidR="0066196F">
        <w:t>team research</w:t>
      </w:r>
      <w:r>
        <w:t>ed</w:t>
      </w:r>
      <w:r w:rsidR="0066196F">
        <w:t xml:space="preserve"> potential interventions for</w:t>
      </w:r>
      <w:r w:rsidR="00BD1D86">
        <w:t xml:space="preserve"> </w:t>
      </w:r>
      <w:r w:rsidR="0066196F">
        <w:t xml:space="preserve">overutilization of </w:t>
      </w:r>
      <w:r w:rsidR="0001621E">
        <w:t xml:space="preserve">PPI </w:t>
      </w:r>
      <w:r w:rsidR="0066196F">
        <w:t>and</w:t>
      </w:r>
      <w:r w:rsidR="00BD1D86">
        <w:t xml:space="preserve"> frequently prescribed </w:t>
      </w:r>
      <w:r w:rsidR="0066196F">
        <w:t>s</w:t>
      </w:r>
      <w:r w:rsidR="0001621E">
        <w:t xml:space="preserve">keletal muscle </w:t>
      </w:r>
      <w:r w:rsidR="0066196F">
        <w:t xml:space="preserve">relaxants </w:t>
      </w:r>
      <w:r w:rsidR="0001621E">
        <w:t xml:space="preserve">and opioids use. </w:t>
      </w:r>
      <w:r>
        <w:t>A</w:t>
      </w:r>
      <w:r w:rsidR="008C72C6">
        <w:t>n intervention hasn’t been done</w:t>
      </w:r>
      <w:r>
        <w:t xml:space="preserve"> for overutilization of PPI</w:t>
      </w:r>
      <w:r w:rsidR="008C72C6">
        <w:t xml:space="preserve">, </w:t>
      </w:r>
      <w:r>
        <w:t xml:space="preserve">but </w:t>
      </w:r>
      <w:r w:rsidR="008C72C6">
        <w:t>maintenance criteria identified 8 patients</w:t>
      </w:r>
      <w:r w:rsidR="00AE5CA5">
        <w:t xml:space="preserve"> for review</w:t>
      </w:r>
      <w:r>
        <w:t xml:space="preserve"> in the last quarter</w:t>
      </w:r>
      <w:r w:rsidR="00AE5CA5">
        <w:t>.</w:t>
      </w:r>
      <w:r w:rsidR="00FD371C">
        <w:t xml:space="preserve"> Research regarding c</w:t>
      </w:r>
      <w:r w:rsidR="002526E0" w:rsidRPr="002526E0">
        <w:t>oncurrent use of an opioid and skeletal muscle relaxant</w:t>
      </w:r>
      <w:r w:rsidR="00FD371C">
        <w:t xml:space="preserve"> showed that </w:t>
      </w:r>
      <w:r w:rsidR="00AE5CA5">
        <w:t>additive effects</w:t>
      </w:r>
      <w:r w:rsidR="00FD371C">
        <w:t xml:space="preserve"> are possible</w:t>
      </w:r>
      <w:r w:rsidR="00AE5CA5">
        <w:t xml:space="preserve"> but can </w:t>
      </w:r>
      <w:r w:rsidR="00FD371C">
        <w:t xml:space="preserve">also </w:t>
      </w:r>
      <w:r w:rsidR="00AE5CA5">
        <w:t xml:space="preserve">result in lowering opioid usage. Running criteria, over 100 patients would have </w:t>
      </w:r>
      <w:r w:rsidR="00FD371C">
        <w:t xml:space="preserve">been identified </w:t>
      </w:r>
      <w:r w:rsidR="00AE5CA5">
        <w:t xml:space="preserve">for review. </w:t>
      </w:r>
      <w:r w:rsidR="00FD371C">
        <w:t>After discussion, t</w:t>
      </w:r>
      <w:r w:rsidR="00AE5CA5">
        <w:t xml:space="preserve">he Board </w:t>
      </w:r>
      <w:r w:rsidR="00FD371C">
        <w:t xml:space="preserve">decided </w:t>
      </w:r>
      <w:r w:rsidR="005A56A8">
        <w:t>not pursue interventions o</w:t>
      </w:r>
      <w:r>
        <w:t>f</w:t>
      </w:r>
      <w:r w:rsidR="005A56A8">
        <w:t xml:space="preserve"> these topics</w:t>
      </w:r>
      <w:r w:rsidR="00154D4B">
        <w:t xml:space="preserve">. </w:t>
      </w:r>
    </w:p>
    <w:p w14:paraId="2603E127" w14:textId="77777777" w:rsidR="00FD371C" w:rsidRDefault="00FD371C" w:rsidP="00FB4278">
      <w:pPr>
        <w:pStyle w:val="BodyText"/>
      </w:pPr>
    </w:p>
    <w:p w14:paraId="3853E7AC" w14:textId="3B40B780" w:rsidR="0001621E" w:rsidRDefault="00154D4B" w:rsidP="00FB4278">
      <w:pPr>
        <w:pStyle w:val="BodyText"/>
      </w:pPr>
      <w:r>
        <w:t xml:space="preserve">A suggestion was made </w:t>
      </w:r>
      <w:r w:rsidR="00FD371C">
        <w:t xml:space="preserve">to research </w:t>
      </w:r>
      <w:r>
        <w:t xml:space="preserve">Covid related therapeutic interactions now that there is more information </w:t>
      </w:r>
      <w:r w:rsidR="00FD371C">
        <w:t>available even though n</w:t>
      </w:r>
      <w:r>
        <w:t>on-evidenced practices are still</w:t>
      </w:r>
      <w:r w:rsidR="00FD371C">
        <w:t xml:space="preserve"> occurring</w:t>
      </w:r>
      <w:r>
        <w:t>. Staff will investigate</w:t>
      </w:r>
      <w:r w:rsidR="005A56A8">
        <w:t xml:space="preserve"> </w:t>
      </w:r>
      <w:r w:rsidR="00FD371C">
        <w:t xml:space="preserve">and present results </w:t>
      </w:r>
      <w:r w:rsidR="005A56A8">
        <w:t xml:space="preserve">at </w:t>
      </w:r>
      <w:r w:rsidR="00FD371C">
        <w:t xml:space="preserve">the </w:t>
      </w:r>
      <w:r w:rsidR="005A56A8">
        <w:t xml:space="preserve">next </w:t>
      </w:r>
      <w:r w:rsidR="00FD371C">
        <w:t xml:space="preserve">Board </w:t>
      </w:r>
      <w:r w:rsidR="005A56A8">
        <w:t>meeting</w:t>
      </w:r>
      <w:r>
        <w:t>.</w:t>
      </w:r>
    </w:p>
    <w:p w14:paraId="09AFED8E" w14:textId="77777777" w:rsidR="00AE5CA5" w:rsidRDefault="00AE5CA5" w:rsidP="00FB4278">
      <w:pPr>
        <w:pStyle w:val="BodyText"/>
      </w:pPr>
    </w:p>
    <w:p w14:paraId="43A1750F" w14:textId="77777777" w:rsidR="00FB4278" w:rsidRPr="00DD5B16" w:rsidRDefault="00FB4278" w:rsidP="00FB4278">
      <w:pPr>
        <w:pStyle w:val="Heading1"/>
        <w:ind w:left="0"/>
      </w:pPr>
      <w:r w:rsidRPr="00DD5B16">
        <w:t>Other Business</w:t>
      </w:r>
    </w:p>
    <w:p w14:paraId="24148FD6" w14:textId="77777777" w:rsidR="00FB4278" w:rsidRPr="00DD5B16" w:rsidRDefault="00FB4278" w:rsidP="00FB4278">
      <w:pPr>
        <w:pStyle w:val="BodyText"/>
        <w:rPr>
          <w:b/>
        </w:rPr>
      </w:pPr>
    </w:p>
    <w:p w14:paraId="6CDD0963" w14:textId="6A95EBB5" w:rsidR="0066196F" w:rsidRDefault="00BD1D86" w:rsidP="00DF6340">
      <w:pPr>
        <w:pStyle w:val="BodyText"/>
      </w:pPr>
      <w:r>
        <w:t>The</w:t>
      </w:r>
      <w:r w:rsidR="002526E0" w:rsidRPr="002526E0">
        <w:rPr>
          <w:rFonts w:asciiTheme="minorHAnsi" w:eastAsiaTheme="minorEastAsia" w:cstheme="minorBidi"/>
          <w:color w:val="000000" w:themeColor="text1"/>
          <w:kern w:val="24"/>
          <w:sz w:val="22"/>
          <w:szCs w:val="22"/>
        </w:rPr>
        <w:t xml:space="preserve"> </w:t>
      </w:r>
      <w:r w:rsidR="00F22E28">
        <w:rPr>
          <w:rFonts w:asciiTheme="minorHAnsi" w:eastAsiaTheme="minorEastAsia" w:cstheme="minorBidi"/>
          <w:color w:val="000000" w:themeColor="text1"/>
          <w:kern w:val="24"/>
          <w:sz w:val="22"/>
          <w:szCs w:val="22"/>
        </w:rPr>
        <w:t xml:space="preserve">next continuing education seminar will be held virtually on Saturday, October 15, beginning at 9:00 a.m. </w:t>
      </w:r>
      <w:r w:rsidR="002526E0" w:rsidRPr="002526E0">
        <w:t xml:space="preserve">Dr. McPherson, will be presenting a 2-hour event titled </w:t>
      </w:r>
      <w:r w:rsidR="005A56A8">
        <w:t>“</w:t>
      </w:r>
      <w:r w:rsidR="002526E0" w:rsidRPr="002526E0">
        <w:t>Deprescribing: Goal-Concordant Prescribing in Serious Illness</w:t>
      </w:r>
      <w:r w:rsidR="005A56A8">
        <w:t>”</w:t>
      </w:r>
      <w:r w:rsidR="00F22E28">
        <w:t>.</w:t>
      </w:r>
    </w:p>
    <w:p w14:paraId="6EBC5739" w14:textId="77777777" w:rsidR="00F22E28" w:rsidRDefault="00F22E28" w:rsidP="00DF6340">
      <w:pPr>
        <w:pStyle w:val="BodyText"/>
      </w:pPr>
    </w:p>
    <w:p w14:paraId="249C949F" w14:textId="77777777" w:rsidR="005A56A8" w:rsidRDefault="00BD1D86" w:rsidP="00BD1D86">
      <w:pPr>
        <w:pStyle w:val="BodyText"/>
      </w:pPr>
      <w:r>
        <w:t xml:space="preserve">Work on </w:t>
      </w:r>
      <w:r w:rsidRPr="00BD1D86">
        <w:t xml:space="preserve">the CMS DUR </w:t>
      </w:r>
      <w:r w:rsidR="005A56A8">
        <w:t>policies and procedures update underway.</w:t>
      </w:r>
    </w:p>
    <w:p w14:paraId="289069B6" w14:textId="77777777" w:rsidR="005A56A8" w:rsidRDefault="005A56A8" w:rsidP="00BD1D86">
      <w:pPr>
        <w:pStyle w:val="BodyText"/>
      </w:pPr>
    </w:p>
    <w:p w14:paraId="491B08EC" w14:textId="0BC843CD" w:rsidR="00FB4278" w:rsidRDefault="00FB4278" w:rsidP="00733B3F">
      <w:pPr>
        <w:pStyle w:val="BodyText"/>
      </w:pPr>
      <w:r>
        <w:t xml:space="preserve">The </w:t>
      </w:r>
      <w:r w:rsidRPr="00DD5B16">
        <w:t xml:space="preserve">next meeting of the DUR Board will be </w:t>
      </w:r>
      <w:r>
        <w:t xml:space="preserve">on </w:t>
      </w:r>
      <w:r w:rsidR="00FB44B7">
        <w:t>Dec</w:t>
      </w:r>
      <w:r w:rsidR="00346DEF">
        <w:t>ember 1</w:t>
      </w:r>
      <w:r w:rsidRPr="00DD5B16">
        <w:t>, 202</w:t>
      </w:r>
      <w:r>
        <w:t>2</w:t>
      </w:r>
      <w:r w:rsidRPr="00DD5B16">
        <w:t>, at 9:1</w:t>
      </w:r>
      <w:r w:rsidR="005A56A8">
        <w:t>7</w:t>
      </w:r>
      <w:r w:rsidRPr="00DD5B16">
        <w:t xml:space="preserve"> a.m. </w:t>
      </w:r>
    </w:p>
    <w:p w14:paraId="2D322A24" w14:textId="77777777" w:rsidR="00FB4278" w:rsidRDefault="00FB4278" w:rsidP="00FB4278">
      <w:pPr>
        <w:pStyle w:val="BodyText"/>
      </w:pPr>
    </w:p>
    <w:p w14:paraId="788769D6" w14:textId="77777777" w:rsidR="00FB4278" w:rsidRPr="00D56F16" w:rsidRDefault="00FB4278" w:rsidP="00FB4278">
      <w:pPr>
        <w:pStyle w:val="BodyText"/>
      </w:pPr>
      <w:r>
        <w:t xml:space="preserve">DUR Board </w:t>
      </w:r>
      <w:r w:rsidRPr="00D56F16">
        <w:t>members were thanked for their service to the State of Maryland and the Maryland Department of Health.</w:t>
      </w:r>
    </w:p>
    <w:p w14:paraId="7DF430DF" w14:textId="77777777" w:rsidR="00FB4278" w:rsidRDefault="00FB4278" w:rsidP="00FB4278">
      <w:pPr>
        <w:pStyle w:val="BodyText"/>
      </w:pPr>
    </w:p>
    <w:p w14:paraId="29E08AE1" w14:textId="3BD8E26F" w:rsidR="00FB4278" w:rsidRDefault="00FB4278" w:rsidP="0088576F">
      <w:pPr>
        <w:pStyle w:val="BodyText"/>
      </w:pPr>
      <w:r w:rsidRPr="00DD5B16">
        <w:t>There being no additional business, the meeting was adjourned at 10:</w:t>
      </w:r>
      <w:r w:rsidR="00C4412E">
        <w:t>1</w:t>
      </w:r>
      <w:r w:rsidR="005A56A8">
        <w:t>5</w:t>
      </w:r>
      <w:r w:rsidRPr="00DD5B16">
        <w:t xml:space="preserve"> a.m.</w:t>
      </w:r>
    </w:p>
    <w:sectPr w:rsidR="00FB4278" w:rsidSect="000A0D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1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B869" w14:textId="77777777" w:rsidR="008A4E49" w:rsidRDefault="008A4E49">
      <w:r>
        <w:separator/>
      </w:r>
    </w:p>
  </w:endnote>
  <w:endnote w:type="continuationSeparator" w:id="0">
    <w:p w14:paraId="08E0CAAD" w14:textId="77777777" w:rsidR="008A4E49" w:rsidRDefault="008A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B785" w14:textId="77777777" w:rsidR="00EF3235" w:rsidRDefault="000F6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187" w14:textId="77777777" w:rsidR="00F70DE0" w:rsidRDefault="00900F71">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4D9600D" wp14:editId="5246C164">
              <wp:simplePos x="0" y="0"/>
              <wp:positionH relativeFrom="page">
                <wp:posOffset>6979920</wp:posOffset>
              </wp:positionH>
              <wp:positionV relativeFrom="page">
                <wp:posOffset>9199880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7968C" w14:textId="77777777" w:rsidR="00F70DE0" w:rsidRDefault="00900F71">
                          <w:pPr>
                            <w:spacing w:line="245" w:lineRule="exact"/>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9600D" id="_x0000_t202" coordsize="21600,21600" o:spt="202" path="m,l,21600r21600,l21600,xe">
              <v:stroke joinstyle="miter"/>
              <v:path gradientshapeok="t" o:connecttype="rect"/>
            </v:shapetype>
            <v:shape id="docshape1" o:spid="_x0000_s1026" type="#_x0000_t202" style="position:absolute;margin-left:549.6pt;margin-top:724.4pt;width:12.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" filled="f" stroked="f">
              <v:textbox inset="0,0,0,0">
                <w:txbxContent>
                  <w:p w14:paraId="6EE7968C" w14:textId="77777777" w:rsidR="00F70DE0" w:rsidRDefault="00900F71">
                    <w:pPr>
                      <w:spacing w:line="245" w:lineRule="exact"/>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9141" w14:textId="77777777" w:rsidR="00EF3235" w:rsidRDefault="000F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8A53" w14:textId="77777777" w:rsidR="008A4E49" w:rsidRDefault="008A4E49">
      <w:r>
        <w:separator/>
      </w:r>
    </w:p>
  </w:footnote>
  <w:footnote w:type="continuationSeparator" w:id="0">
    <w:p w14:paraId="1283F4BC" w14:textId="77777777" w:rsidR="008A4E49" w:rsidRDefault="008A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E725" w14:textId="77777777" w:rsidR="00EF3235" w:rsidRDefault="000F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347" w14:textId="2458C7FC" w:rsidR="00EF3235" w:rsidRDefault="000F6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C26" w14:textId="77777777" w:rsidR="00EF3235" w:rsidRDefault="000F6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FF4"/>
    <w:multiLevelType w:val="hybridMultilevel"/>
    <w:tmpl w:val="7B66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7360B"/>
    <w:multiLevelType w:val="hybridMultilevel"/>
    <w:tmpl w:val="F6A4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EB0031"/>
    <w:multiLevelType w:val="hybridMultilevel"/>
    <w:tmpl w:val="1A1ADC62"/>
    <w:lvl w:ilvl="0" w:tplc="552CF768">
      <w:start w:val="1"/>
      <w:numFmt w:val="bullet"/>
      <w:lvlText w:val="•"/>
      <w:lvlJc w:val="left"/>
      <w:pPr>
        <w:tabs>
          <w:tab w:val="num" w:pos="720"/>
        </w:tabs>
        <w:ind w:left="720" w:hanging="360"/>
      </w:pPr>
      <w:rPr>
        <w:rFonts w:ascii="Arial" w:hAnsi="Arial" w:hint="default"/>
      </w:rPr>
    </w:lvl>
    <w:lvl w:ilvl="1" w:tplc="F654B604" w:tentative="1">
      <w:start w:val="1"/>
      <w:numFmt w:val="bullet"/>
      <w:lvlText w:val="•"/>
      <w:lvlJc w:val="left"/>
      <w:pPr>
        <w:tabs>
          <w:tab w:val="num" w:pos="1440"/>
        </w:tabs>
        <w:ind w:left="1440" w:hanging="360"/>
      </w:pPr>
      <w:rPr>
        <w:rFonts w:ascii="Arial" w:hAnsi="Arial" w:hint="default"/>
      </w:rPr>
    </w:lvl>
    <w:lvl w:ilvl="2" w:tplc="3C7A8FB6" w:tentative="1">
      <w:start w:val="1"/>
      <w:numFmt w:val="bullet"/>
      <w:lvlText w:val="•"/>
      <w:lvlJc w:val="left"/>
      <w:pPr>
        <w:tabs>
          <w:tab w:val="num" w:pos="2160"/>
        </w:tabs>
        <w:ind w:left="2160" w:hanging="360"/>
      </w:pPr>
      <w:rPr>
        <w:rFonts w:ascii="Arial" w:hAnsi="Arial" w:hint="default"/>
      </w:rPr>
    </w:lvl>
    <w:lvl w:ilvl="3" w:tplc="E6142050" w:tentative="1">
      <w:start w:val="1"/>
      <w:numFmt w:val="bullet"/>
      <w:lvlText w:val="•"/>
      <w:lvlJc w:val="left"/>
      <w:pPr>
        <w:tabs>
          <w:tab w:val="num" w:pos="2880"/>
        </w:tabs>
        <w:ind w:left="2880" w:hanging="360"/>
      </w:pPr>
      <w:rPr>
        <w:rFonts w:ascii="Arial" w:hAnsi="Arial" w:hint="default"/>
      </w:rPr>
    </w:lvl>
    <w:lvl w:ilvl="4" w:tplc="F7ECC17E" w:tentative="1">
      <w:start w:val="1"/>
      <w:numFmt w:val="bullet"/>
      <w:lvlText w:val="•"/>
      <w:lvlJc w:val="left"/>
      <w:pPr>
        <w:tabs>
          <w:tab w:val="num" w:pos="3600"/>
        </w:tabs>
        <w:ind w:left="3600" w:hanging="360"/>
      </w:pPr>
      <w:rPr>
        <w:rFonts w:ascii="Arial" w:hAnsi="Arial" w:hint="default"/>
      </w:rPr>
    </w:lvl>
    <w:lvl w:ilvl="5" w:tplc="92E4D792" w:tentative="1">
      <w:start w:val="1"/>
      <w:numFmt w:val="bullet"/>
      <w:lvlText w:val="•"/>
      <w:lvlJc w:val="left"/>
      <w:pPr>
        <w:tabs>
          <w:tab w:val="num" w:pos="4320"/>
        </w:tabs>
        <w:ind w:left="4320" w:hanging="360"/>
      </w:pPr>
      <w:rPr>
        <w:rFonts w:ascii="Arial" w:hAnsi="Arial" w:hint="default"/>
      </w:rPr>
    </w:lvl>
    <w:lvl w:ilvl="6" w:tplc="82046974" w:tentative="1">
      <w:start w:val="1"/>
      <w:numFmt w:val="bullet"/>
      <w:lvlText w:val="•"/>
      <w:lvlJc w:val="left"/>
      <w:pPr>
        <w:tabs>
          <w:tab w:val="num" w:pos="5040"/>
        </w:tabs>
        <w:ind w:left="5040" w:hanging="360"/>
      </w:pPr>
      <w:rPr>
        <w:rFonts w:ascii="Arial" w:hAnsi="Arial" w:hint="default"/>
      </w:rPr>
    </w:lvl>
    <w:lvl w:ilvl="7" w:tplc="13E82058" w:tentative="1">
      <w:start w:val="1"/>
      <w:numFmt w:val="bullet"/>
      <w:lvlText w:val="•"/>
      <w:lvlJc w:val="left"/>
      <w:pPr>
        <w:tabs>
          <w:tab w:val="num" w:pos="5760"/>
        </w:tabs>
        <w:ind w:left="5760" w:hanging="360"/>
      </w:pPr>
      <w:rPr>
        <w:rFonts w:ascii="Arial" w:hAnsi="Arial" w:hint="default"/>
      </w:rPr>
    </w:lvl>
    <w:lvl w:ilvl="8" w:tplc="5AE098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387090"/>
    <w:multiLevelType w:val="hybridMultilevel"/>
    <w:tmpl w:val="2292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7868"/>
    <w:multiLevelType w:val="hybridMultilevel"/>
    <w:tmpl w:val="20D27F22"/>
    <w:lvl w:ilvl="0" w:tplc="E520A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A6A9A"/>
    <w:multiLevelType w:val="hybridMultilevel"/>
    <w:tmpl w:val="B5EE18A2"/>
    <w:lvl w:ilvl="0" w:tplc="889E820E">
      <w:start w:val="1"/>
      <w:numFmt w:val="bullet"/>
      <w:lvlText w:val="•"/>
      <w:lvlJc w:val="left"/>
      <w:pPr>
        <w:tabs>
          <w:tab w:val="num" w:pos="720"/>
        </w:tabs>
        <w:ind w:left="720" w:hanging="360"/>
      </w:pPr>
      <w:rPr>
        <w:rFonts w:ascii="Arial" w:hAnsi="Arial" w:hint="default"/>
      </w:rPr>
    </w:lvl>
    <w:lvl w:ilvl="1" w:tplc="BF049E14" w:tentative="1">
      <w:start w:val="1"/>
      <w:numFmt w:val="bullet"/>
      <w:lvlText w:val="•"/>
      <w:lvlJc w:val="left"/>
      <w:pPr>
        <w:tabs>
          <w:tab w:val="num" w:pos="1440"/>
        </w:tabs>
        <w:ind w:left="1440" w:hanging="360"/>
      </w:pPr>
      <w:rPr>
        <w:rFonts w:ascii="Arial" w:hAnsi="Arial" w:hint="default"/>
      </w:rPr>
    </w:lvl>
    <w:lvl w:ilvl="2" w:tplc="DB840D44" w:tentative="1">
      <w:start w:val="1"/>
      <w:numFmt w:val="bullet"/>
      <w:lvlText w:val="•"/>
      <w:lvlJc w:val="left"/>
      <w:pPr>
        <w:tabs>
          <w:tab w:val="num" w:pos="2160"/>
        </w:tabs>
        <w:ind w:left="2160" w:hanging="360"/>
      </w:pPr>
      <w:rPr>
        <w:rFonts w:ascii="Arial" w:hAnsi="Arial" w:hint="default"/>
      </w:rPr>
    </w:lvl>
    <w:lvl w:ilvl="3" w:tplc="26084D32" w:tentative="1">
      <w:start w:val="1"/>
      <w:numFmt w:val="bullet"/>
      <w:lvlText w:val="•"/>
      <w:lvlJc w:val="left"/>
      <w:pPr>
        <w:tabs>
          <w:tab w:val="num" w:pos="2880"/>
        </w:tabs>
        <w:ind w:left="2880" w:hanging="360"/>
      </w:pPr>
      <w:rPr>
        <w:rFonts w:ascii="Arial" w:hAnsi="Arial" w:hint="default"/>
      </w:rPr>
    </w:lvl>
    <w:lvl w:ilvl="4" w:tplc="D3448530" w:tentative="1">
      <w:start w:val="1"/>
      <w:numFmt w:val="bullet"/>
      <w:lvlText w:val="•"/>
      <w:lvlJc w:val="left"/>
      <w:pPr>
        <w:tabs>
          <w:tab w:val="num" w:pos="3600"/>
        </w:tabs>
        <w:ind w:left="3600" w:hanging="360"/>
      </w:pPr>
      <w:rPr>
        <w:rFonts w:ascii="Arial" w:hAnsi="Arial" w:hint="default"/>
      </w:rPr>
    </w:lvl>
    <w:lvl w:ilvl="5" w:tplc="26B4299E" w:tentative="1">
      <w:start w:val="1"/>
      <w:numFmt w:val="bullet"/>
      <w:lvlText w:val="•"/>
      <w:lvlJc w:val="left"/>
      <w:pPr>
        <w:tabs>
          <w:tab w:val="num" w:pos="4320"/>
        </w:tabs>
        <w:ind w:left="4320" w:hanging="360"/>
      </w:pPr>
      <w:rPr>
        <w:rFonts w:ascii="Arial" w:hAnsi="Arial" w:hint="default"/>
      </w:rPr>
    </w:lvl>
    <w:lvl w:ilvl="6" w:tplc="0A7EF9AC" w:tentative="1">
      <w:start w:val="1"/>
      <w:numFmt w:val="bullet"/>
      <w:lvlText w:val="•"/>
      <w:lvlJc w:val="left"/>
      <w:pPr>
        <w:tabs>
          <w:tab w:val="num" w:pos="5040"/>
        </w:tabs>
        <w:ind w:left="5040" w:hanging="360"/>
      </w:pPr>
      <w:rPr>
        <w:rFonts w:ascii="Arial" w:hAnsi="Arial" w:hint="default"/>
      </w:rPr>
    </w:lvl>
    <w:lvl w:ilvl="7" w:tplc="06D0C1C4" w:tentative="1">
      <w:start w:val="1"/>
      <w:numFmt w:val="bullet"/>
      <w:lvlText w:val="•"/>
      <w:lvlJc w:val="left"/>
      <w:pPr>
        <w:tabs>
          <w:tab w:val="num" w:pos="5760"/>
        </w:tabs>
        <w:ind w:left="5760" w:hanging="360"/>
      </w:pPr>
      <w:rPr>
        <w:rFonts w:ascii="Arial" w:hAnsi="Arial" w:hint="default"/>
      </w:rPr>
    </w:lvl>
    <w:lvl w:ilvl="8" w:tplc="122A16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A1291B"/>
    <w:multiLevelType w:val="hybridMultilevel"/>
    <w:tmpl w:val="EF5402F2"/>
    <w:lvl w:ilvl="0" w:tplc="DBD87A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36C18"/>
    <w:multiLevelType w:val="hybridMultilevel"/>
    <w:tmpl w:val="44362F90"/>
    <w:lvl w:ilvl="0" w:tplc="0630C01E">
      <w:start w:val="1"/>
      <w:numFmt w:val="bullet"/>
      <w:lvlText w:val="•"/>
      <w:lvlJc w:val="left"/>
      <w:pPr>
        <w:tabs>
          <w:tab w:val="num" w:pos="720"/>
        </w:tabs>
        <w:ind w:left="720" w:hanging="360"/>
      </w:pPr>
      <w:rPr>
        <w:rFonts w:ascii="Arial" w:hAnsi="Arial" w:hint="default"/>
      </w:rPr>
    </w:lvl>
    <w:lvl w:ilvl="1" w:tplc="D9868D40" w:tentative="1">
      <w:start w:val="1"/>
      <w:numFmt w:val="bullet"/>
      <w:lvlText w:val="•"/>
      <w:lvlJc w:val="left"/>
      <w:pPr>
        <w:tabs>
          <w:tab w:val="num" w:pos="1440"/>
        </w:tabs>
        <w:ind w:left="1440" w:hanging="360"/>
      </w:pPr>
      <w:rPr>
        <w:rFonts w:ascii="Arial" w:hAnsi="Arial" w:hint="default"/>
      </w:rPr>
    </w:lvl>
    <w:lvl w:ilvl="2" w:tplc="64F8FE1C" w:tentative="1">
      <w:start w:val="1"/>
      <w:numFmt w:val="bullet"/>
      <w:lvlText w:val="•"/>
      <w:lvlJc w:val="left"/>
      <w:pPr>
        <w:tabs>
          <w:tab w:val="num" w:pos="2160"/>
        </w:tabs>
        <w:ind w:left="2160" w:hanging="360"/>
      </w:pPr>
      <w:rPr>
        <w:rFonts w:ascii="Arial" w:hAnsi="Arial" w:hint="default"/>
      </w:rPr>
    </w:lvl>
    <w:lvl w:ilvl="3" w:tplc="1B468D96" w:tentative="1">
      <w:start w:val="1"/>
      <w:numFmt w:val="bullet"/>
      <w:lvlText w:val="•"/>
      <w:lvlJc w:val="left"/>
      <w:pPr>
        <w:tabs>
          <w:tab w:val="num" w:pos="2880"/>
        </w:tabs>
        <w:ind w:left="2880" w:hanging="360"/>
      </w:pPr>
      <w:rPr>
        <w:rFonts w:ascii="Arial" w:hAnsi="Arial" w:hint="default"/>
      </w:rPr>
    </w:lvl>
    <w:lvl w:ilvl="4" w:tplc="3870949A" w:tentative="1">
      <w:start w:val="1"/>
      <w:numFmt w:val="bullet"/>
      <w:lvlText w:val="•"/>
      <w:lvlJc w:val="left"/>
      <w:pPr>
        <w:tabs>
          <w:tab w:val="num" w:pos="3600"/>
        </w:tabs>
        <w:ind w:left="3600" w:hanging="360"/>
      </w:pPr>
      <w:rPr>
        <w:rFonts w:ascii="Arial" w:hAnsi="Arial" w:hint="default"/>
      </w:rPr>
    </w:lvl>
    <w:lvl w:ilvl="5" w:tplc="75CEF248" w:tentative="1">
      <w:start w:val="1"/>
      <w:numFmt w:val="bullet"/>
      <w:lvlText w:val="•"/>
      <w:lvlJc w:val="left"/>
      <w:pPr>
        <w:tabs>
          <w:tab w:val="num" w:pos="4320"/>
        </w:tabs>
        <w:ind w:left="4320" w:hanging="360"/>
      </w:pPr>
      <w:rPr>
        <w:rFonts w:ascii="Arial" w:hAnsi="Arial" w:hint="default"/>
      </w:rPr>
    </w:lvl>
    <w:lvl w:ilvl="6" w:tplc="479814EC" w:tentative="1">
      <w:start w:val="1"/>
      <w:numFmt w:val="bullet"/>
      <w:lvlText w:val="•"/>
      <w:lvlJc w:val="left"/>
      <w:pPr>
        <w:tabs>
          <w:tab w:val="num" w:pos="5040"/>
        </w:tabs>
        <w:ind w:left="5040" w:hanging="360"/>
      </w:pPr>
      <w:rPr>
        <w:rFonts w:ascii="Arial" w:hAnsi="Arial" w:hint="default"/>
      </w:rPr>
    </w:lvl>
    <w:lvl w:ilvl="7" w:tplc="151AD770" w:tentative="1">
      <w:start w:val="1"/>
      <w:numFmt w:val="bullet"/>
      <w:lvlText w:val="•"/>
      <w:lvlJc w:val="left"/>
      <w:pPr>
        <w:tabs>
          <w:tab w:val="num" w:pos="5760"/>
        </w:tabs>
        <w:ind w:left="5760" w:hanging="360"/>
      </w:pPr>
      <w:rPr>
        <w:rFonts w:ascii="Arial" w:hAnsi="Arial" w:hint="default"/>
      </w:rPr>
    </w:lvl>
    <w:lvl w:ilvl="8" w:tplc="5D1EA2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201F8E"/>
    <w:multiLevelType w:val="hybridMultilevel"/>
    <w:tmpl w:val="7920335C"/>
    <w:lvl w:ilvl="0" w:tplc="C09E0B8C">
      <w:start w:val="1"/>
      <w:numFmt w:val="bullet"/>
      <w:lvlText w:val="•"/>
      <w:lvlJc w:val="left"/>
      <w:pPr>
        <w:tabs>
          <w:tab w:val="num" w:pos="720"/>
        </w:tabs>
        <w:ind w:left="720" w:hanging="360"/>
      </w:pPr>
      <w:rPr>
        <w:rFonts w:ascii="Arial" w:hAnsi="Arial" w:hint="default"/>
      </w:rPr>
    </w:lvl>
    <w:lvl w:ilvl="1" w:tplc="74B47AAE">
      <w:numFmt w:val="bullet"/>
      <w:lvlText w:val="•"/>
      <w:lvlJc w:val="left"/>
      <w:pPr>
        <w:tabs>
          <w:tab w:val="num" w:pos="1440"/>
        </w:tabs>
        <w:ind w:left="1440" w:hanging="360"/>
      </w:pPr>
      <w:rPr>
        <w:rFonts w:ascii="Arial" w:hAnsi="Arial" w:hint="default"/>
      </w:rPr>
    </w:lvl>
    <w:lvl w:ilvl="2" w:tplc="C74E8080" w:tentative="1">
      <w:start w:val="1"/>
      <w:numFmt w:val="bullet"/>
      <w:lvlText w:val="•"/>
      <w:lvlJc w:val="left"/>
      <w:pPr>
        <w:tabs>
          <w:tab w:val="num" w:pos="2160"/>
        </w:tabs>
        <w:ind w:left="2160" w:hanging="360"/>
      </w:pPr>
      <w:rPr>
        <w:rFonts w:ascii="Arial" w:hAnsi="Arial" w:hint="default"/>
      </w:rPr>
    </w:lvl>
    <w:lvl w:ilvl="3" w:tplc="4E709A8C" w:tentative="1">
      <w:start w:val="1"/>
      <w:numFmt w:val="bullet"/>
      <w:lvlText w:val="•"/>
      <w:lvlJc w:val="left"/>
      <w:pPr>
        <w:tabs>
          <w:tab w:val="num" w:pos="2880"/>
        </w:tabs>
        <w:ind w:left="2880" w:hanging="360"/>
      </w:pPr>
      <w:rPr>
        <w:rFonts w:ascii="Arial" w:hAnsi="Arial" w:hint="default"/>
      </w:rPr>
    </w:lvl>
    <w:lvl w:ilvl="4" w:tplc="8B4A33D6" w:tentative="1">
      <w:start w:val="1"/>
      <w:numFmt w:val="bullet"/>
      <w:lvlText w:val="•"/>
      <w:lvlJc w:val="left"/>
      <w:pPr>
        <w:tabs>
          <w:tab w:val="num" w:pos="3600"/>
        </w:tabs>
        <w:ind w:left="3600" w:hanging="360"/>
      </w:pPr>
      <w:rPr>
        <w:rFonts w:ascii="Arial" w:hAnsi="Arial" w:hint="default"/>
      </w:rPr>
    </w:lvl>
    <w:lvl w:ilvl="5" w:tplc="F224F194" w:tentative="1">
      <w:start w:val="1"/>
      <w:numFmt w:val="bullet"/>
      <w:lvlText w:val="•"/>
      <w:lvlJc w:val="left"/>
      <w:pPr>
        <w:tabs>
          <w:tab w:val="num" w:pos="4320"/>
        </w:tabs>
        <w:ind w:left="4320" w:hanging="360"/>
      </w:pPr>
      <w:rPr>
        <w:rFonts w:ascii="Arial" w:hAnsi="Arial" w:hint="default"/>
      </w:rPr>
    </w:lvl>
    <w:lvl w:ilvl="6" w:tplc="3DC64094" w:tentative="1">
      <w:start w:val="1"/>
      <w:numFmt w:val="bullet"/>
      <w:lvlText w:val="•"/>
      <w:lvlJc w:val="left"/>
      <w:pPr>
        <w:tabs>
          <w:tab w:val="num" w:pos="5040"/>
        </w:tabs>
        <w:ind w:left="5040" w:hanging="360"/>
      </w:pPr>
      <w:rPr>
        <w:rFonts w:ascii="Arial" w:hAnsi="Arial" w:hint="default"/>
      </w:rPr>
    </w:lvl>
    <w:lvl w:ilvl="7" w:tplc="00BED970" w:tentative="1">
      <w:start w:val="1"/>
      <w:numFmt w:val="bullet"/>
      <w:lvlText w:val="•"/>
      <w:lvlJc w:val="left"/>
      <w:pPr>
        <w:tabs>
          <w:tab w:val="num" w:pos="5760"/>
        </w:tabs>
        <w:ind w:left="5760" w:hanging="360"/>
      </w:pPr>
      <w:rPr>
        <w:rFonts w:ascii="Arial" w:hAnsi="Arial" w:hint="default"/>
      </w:rPr>
    </w:lvl>
    <w:lvl w:ilvl="8" w:tplc="52A608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8341E57"/>
    <w:multiLevelType w:val="hybridMultilevel"/>
    <w:tmpl w:val="5972FC4A"/>
    <w:lvl w:ilvl="0" w:tplc="30AE05E2">
      <w:start w:val="1"/>
      <w:numFmt w:val="bullet"/>
      <w:lvlText w:val="•"/>
      <w:lvlJc w:val="left"/>
      <w:pPr>
        <w:tabs>
          <w:tab w:val="num" w:pos="720"/>
        </w:tabs>
        <w:ind w:left="720" w:hanging="360"/>
      </w:pPr>
      <w:rPr>
        <w:rFonts w:ascii="Arial" w:hAnsi="Arial" w:hint="default"/>
      </w:rPr>
    </w:lvl>
    <w:lvl w:ilvl="1" w:tplc="FF867726" w:tentative="1">
      <w:start w:val="1"/>
      <w:numFmt w:val="bullet"/>
      <w:lvlText w:val="•"/>
      <w:lvlJc w:val="left"/>
      <w:pPr>
        <w:tabs>
          <w:tab w:val="num" w:pos="1440"/>
        </w:tabs>
        <w:ind w:left="1440" w:hanging="360"/>
      </w:pPr>
      <w:rPr>
        <w:rFonts w:ascii="Arial" w:hAnsi="Arial" w:hint="default"/>
      </w:rPr>
    </w:lvl>
    <w:lvl w:ilvl="2" w:tplc="4AC25AF4" w:tentative="1">
      <w:start w:val="1"/>
      <w:numFmt w:val="bullet"/>
      <w:lvlText w:val="•"/>
      <w:lvlJc w:val="left"/>
      <w:pPr>
        <w:tabs>
          <w:tab w:val="num" w:pos="2160"/>
        </w:tabs>
        <w:ind w:left="2160" w:hanging="360"/>
      </w:pPr>
      <w:rPr>
        <w:rFonts w:ascii="Arial" w:hAnsi="Arial" w:hint="default"/>
      </w:rPr>
    </w:lvl>
    <w:lvl w:ilvl="3" w:tplc="9CFC0A1C" w:tentative="1">
      <w:start w:val="1"/>
      <w:numFmt w:val="bullet"/>
      <w:lvlText w:val="•"/>
      <w:lvlJc w:val="left"/>
      <w:pPr>
        <w:tabs>
          <w:tab w:val="num" w:pos="2880"/>
        </w:tabs>
        <w:ind w:left="2880" w:hanging="360"/>
      </w:pPr>
      <w:rPr>
        <w:rFonts w:ascii="Arial" w:hAnsi="Arial" w:hint="default"/>
      </w:rPr>
    </w:lvl>
    <w:lvl w:ilvl="4" w:tplc="2D9C3272" w:tentative="1">
      <w:start w:val="1"/>
      <w:numFmt w:val="bullet"/>
      <w:lvlText w:val="•"/>
      <w:lvlJc w:val="left"/>
      <w:pPr>
        <w:tabs>
          <w:tab w:val="num" w:pos="3600"/>
        </w:tabs>
        <w:ind w:left="3600" w:hanging="360"/>
      </w:pPr>
      <w:rPr>
        <w:rFonts w:ascii="Arial" w:hAnsi="Arial" w:hint="default"/>
      </w:rPr>
    </w:lvl>
    <w:lvl w:ilvl="5" w:tplc="D082A4D0" w:tentative="1">
      <w:start w:val="1"/>
      <w:numFmt w:val="bullet"/>
      <w:lvlText w:val="•"/>
      <w:lvlJc w:val="left"/>
      <w:pPr>
        <w:tabs>
          <w:tab w:val="num" w:pos="4320"/>
        </w:tabs>
        <w:ind w:left="4320" w:hanging="360"/>
      </w:pPr>
      <w:rPr>
        <w:rFonts w:ascii="Arial" w:hAnsi="Arial" w:hint="default"/>
      </w:rPr>
    </w:lvl>
    <w:lvl w:ilvl="6" w:tplc="524A56A4" w:tentative="1">
      <w:start w:val="1"/>
      <w:numFmt w:val="bullet"/>
      <w:lvlText w:val="•"/>
      <w:lvlJc w:val="left"/>
      <w:pPr>
        <w:tabs>
          <w:tab w:val="num" w:pos="5040"/>
        </w:tabs>
        <w:ind w:left="5040" w:hanging="360"/>
      </w:pPr>
      <w:rPr>
        <w:rFonts w:ascii="Arial" w:hAnsi="Arial" w:hint="default"/>
      </w:rPr>
    </w:lvl>
    <w:lvl w:ilvl="7" w:tplc="56B86AAC" w:tentative="1">
      <w:start w:val="1"/>
      <w:numFmt w:val="bullet"/>
      <w:lvlText w:val="•"/>
      <w:lvlJc w:val="left"/>
      <w:pPr>
        <w:tabs>
          <w:tab w:val="num" w:pos="5760"/>
        </w:tabs>
        <w:ind w:left="5760" w:hanging="360"/>
      </w:pPr>
      <w:rPr>
        <w:rFonts w:ascii="Arial" w:hAnsi="Arial" w:hint="default"/>
      </w:rPr>
    </w:lvl>
    <w:lvl w:ilvl="8" w:tplc="A3020D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5B7BDA"/>
    <w:multiLevelType w:val="hybridMultilevel"/>
    <w:tmpl w:val="C9A4305C"/>
    <w:lvl w:ilvl="0" w:tplc="C39C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C4412"/>
    <w:multiLevelType w:val="hybridMultilevel"/>
    <w:tmpl w:val="C2EED372"/>
    <w:lvl w:ilvl="0" w:tplc="98A0BC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914670">
    <w:abstractNumId w:val="3"/>
  </w:num>
  <w:num w:numId="2" w16cid:durableId="477721548">
    <w:abstractNumId w:val="11"/>
  </w:num>
  <w:num w:numId="3" w16cid:durableId="591356175">
    <w:abstractNumId w:val="2"/>
  </w:num>
  <w:num w:numId="4" w16cid:durableId="1542133177">
    <w:abstractNumId w:val="5"/>
  </w:num>
  <w:num w:numId="5" w16cid:durableId="1894148840">
    <w:abstractNumId w:val="9"/>
  </w:num>
  <w:num w:numId="6" w16cid:durableId="890388327">
    <w:abstractNumId w:val="0"/>
  </w:num>
  <w:num w:numId="7" w16cid:durableId="1816681533">
    <w:abstractNumId w:val="6"/>
  </w:num>
  <w:num w:numId="8" w16cid:durableId="2008046886">
    <w:abstractNumId w:val="8"/>
  </w:num>
  <w:num w:numId="9" w16cid:durableId="394083700">
    <w:abstractNumId w:val="7"/>
  </w:num>
  <w:num w:numId="10" w16cid:durableId="282153407">
    <w:abstractNumId w:val="10"/>
  </w:num>
  <w:num w:numId="11" w16cid:durableId="1773892751">
    <w:abstractNumId w:val="4"/>
  </w:num>
  <w:num w:numId="12" w16cid:durableId="747074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78"/>
    <w:rsid w:val="0001621E"/>
    <w:rsid w:val="00034F0F"/>
    <w:rsid w:val="00035D65"/>
    <w:rsid w:val="00054907"/>
    <w:rsid w:val="000620DA"/>
    <w:rsid w:val="00063590"/>
    <w:rsid w:val="00081DB0"/>
    <w:rsid w:val="00086138"/>
    <w:rsid w:val="000A0D70"/>
    <w:rsid w:val="000A1B5D"/>
    <w:rsid w:val="000C1DD7"/>
    <w:rsid w:val="000C56A8"/>
    <w:rsid w:val="000F6455"/>
    <w:rsid w:val="0010127F"/>
    <w:rsid w:val="001259C2"/>
    <w:rsid w:val="00154D4B"/>
    <w:rsid w:val="00160278"/>
    <w:rsid w:val="001B36A0"/>
    <w:rsid w:val="001B6ECE"/>
    <w:rsid w:val="001C6F2B"/>
    <w:rsid w:val="001F2E57"/>
    <w:rsid w:val="002313EB"/>
    <w:rsid w:val="00241469"/>
    <w:rsid w:val="00246DCF"/>
    <w:rsid w:val="002526E0"/>
    <w:rsid w:val="002967FE"/>
    <w:rsid w:val="002C4B1C"/>
    <w:rsid w:val="002D14DD"/>
    <w:rsid w:val="0030426D"/>
    <w:rsid w:val="0033413D"/>
    <w:rsid w:val="00346DEF"/>
    <w:rsid w:val="0036522B"/>
    <w:rsid w:val="003812A6"/>
    <w:rsid w:val="003B1664"/>
    <w:rsid w:val="003C650C"/>
    <w:rsid w:val="003D794C"/>
    <w:rsid w:val="003E2FB0"/>
    <w:rsid w:val="00416EC7"/>
    <w:rsid w:val="00437E30"/>
    <w:rsid w:val="00454017"/>
    <w:rsid w:val="00473331"/>
    <w:rsid w:val="00474537"/>
    <w:rsid w:val="004A5A2F"/>
    <w:rsid w:val="005077B1"/>
    <w:rsid w:val="005449BE"/>
    <w:rsid w:val="00567D1D"/>
    <w:rsid w:val="005804B5"/>
    <w:rsid w:val="00581929"/>
    <w:rsid w:val="00595B8C"/>
    <w:rsid w:val="005A02E5"/>
    <w:rsid w:val="005A56A8"/>
    <w:rsid w:val="005D5BEB"/>
    <w:rsid w:val="006129FE"/>
    <w:rsid w:val="0061611D"/>
    <w:rsid w:val="00617462"/>
    <w:rsid w:val="00650D9E"/>
    <w:rsid w:val="00657411"/>
    <w:rsid w:val="0066196F"/>
    <w:rsid w:val="006767FE"/>
    <w:rsid w:val="0069308E"/>
    <w:rsid w:val="006C53F4"/>
    <w:rsid w:val="006E3026"/>
    <w:rsid w:val="006E4CEE"/>
    <w:rsid w:val="007068F6"/>
    <w:rsid w:val="00733B3F"/>
    <w:rsid w:val="007457F4"/>
    <w:rsid w:val="00765719"/>
    <w:rsid w:val="0076603F"/>
    <w:rsid w:val="00771CD8"/>
    <w:rsid w:val="0078448E"/>
    <w:rsid w:val="007A04D6"/>
    <w:rsid w:val="007A65F3"/>
    <w:rsid w:val="007C53F4"/>
    <w:rsid w:val="007D0044"/>
    <w:rsid w:val="007E0923"/>
    <w:rsid w:val="007E330E"/>
    <w:rsid w:val="007F72EF"/>
    <w:rsid w:val="00806DFA"/>
    <w:rsid w:val="00810103"/>
    <w:rsid w:val="008177EB"/>
    <w:rsid w:val="00837CA0"/>
    <w:rsid w:val="00840AF2"/>
    <w:rsid w:val="00853658"/>
    <w:rsid w:val="00867B01"/>
    <w:rsid w:val="008705FD"/>
    <w:rsid w:val="00881A89"/>
    <w:rsid w:val="0088576F"/>
    <w:rsid w:val="008A4E49"/>
    <w:rsid w:val="008B3463"/>
    <w:rsid w:val="008B5456"/>
    <w:rsid w:val="008C0E63"/>
    <w:rsid w:val="008C72C6"/>
    <w:rsid w:val="008F4503"/>
    <w:rsid w:val="00900104"/>
    <w:rsid w:val="00900F71"/>
    <w:rsid w:val="00905212"/>
    <w:rsid w:val="009215B7"/>
    <w:rsid w:val="00931E13"/>
    <w:rsid w:val="00950F4D"/>
    <w:rsid w:val="00971D5D"/>
    <w:rsid w:val="009739D9"/>
    <w:rsid w:val="00975D1E"/>
    <w:rsid w:val="00981110"/>
    <w:rsid w:val="00985168"/>
    <w:rsid w:val="009A0F94"/>
    <w:rsid w:val="009C7A88"/>
    <w:rsid w:val="009D7C80"/>
    <w:rsid w:val="009F2C12"/>
    <w:rsid w:val="00A13178"/>
    <w:rsid w:val="00A15BEE"/>
    <w:rsid w:val="00A31390"/>
    <w:rsid w:val="00A3699D"/>
    <w:rsid w:val="00AB5A05"/>
    <w:rsid w:val="00AC788B"/>
    <w:rsid w:val="00AE5CA5"/>
    <w:rsid w:val="00B008B5"/>
    <w:rsid w:val="00B958E9"/>
    <w:rsid w:val="00BC740C"/>
    <w:rsid w:val="00BD1D86"/>
    <w:rsid w:val="00BF4682"/>
    <w:rsid w:val="00C42B91"/>
    <w:rsid w:val="00C4412E"/>
    <w:rsid w:val="00C536E4"/>
    <w:rsid w:val="00C640D6"/>
    <w:rsid w:val="00C72806"/>
    <w:rsid w:val="00C75974"/>
    <w:rsid w:val="00C96CD7"/>
    <w:rsid w:val="00CB1BCC"/>
    <w:rsid w:val="00CB5C72"/>
    <w:rsid w:val="00CE5AAF"/>
    <w:rsid w:val="00D03902"/>
    <w:rsid w:val="00D111C0"/>
    <w:rsid w:val="00D43DCA"/>
    <w:rsid w:val="00D72296"/>
    <w:rsid w:val="00DC645F"/>
    <w:rsid w:val="00DE00BB"/>
    <w:rsid w:val="00DE6BB4"/>
    <w:rsid w:val="00DF169F"/>
    <w:rsid w:val="00DF6340"/>
    <w:rsid w:val="00E038BB"/>
    <w:rsid w:val="00E248B9"/>
    <w:rsid w:val="00E43055"/>
    <w:rsid w:val="00E544E9"/>
    <w:rsid w:val="00E6169B"/>
    <w:rsid w:val="00E64C9E"/>
    <w:rsid w:val="00E8200E"/>
    <w:rsid w:val="00E9381D"/>
    <w:rsid w:val="00EA694B"/>
    <w:rsid w:val="00F00473"/>
    <w:rsid w:val="00F0281C"/>
    <w:rsid w:val="00F03018"/>
    <w:rsid w:val="00F15D0D"/>
    <w:rsid w:val="00F22E28"/>
    <w:rsid w:val="00F25FFB"/>
    <w:rsid w:val="00F6235F"/>
    <w:rsid w:val="00F811D4"/>
    <w:rsid w:val="00F85A63"/>
    <w:rsid w:val="00F86529"/>
    <w:rsid w:val="00FB4278"/>
    <w:rsid w:val="00FB44B7"/>
    <w:rsid w:val="00FC4C72"/>
    <w:rsid w:val="00FD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29360"/>
  <w15:chartTrackingRefBased/>
  <w15:docId w15:val="{E0AF61C6-948B-41E6-9F03-66191876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7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FB4278"/>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278"/>
    <w:rPr>
      <w:rFonts w:ascii="Calibri" w:eastAsia="Calibri" w:hAnsi="Calibri" w:cs="Calibri"/>
      <w:b/>
      <w:bCs/>
      <w:sz w:val="24"/>
      <w:szCs w:val="24"/>
    </w:rPr>
  </w:style>
  <w:style w:type="paragraph" w:styleId="BodyText">
    <w:name w:val="Body Text"/>
    <w:basedOn w:val="Normal"/>
    <w:link w:val="BodyTextChar"/>
    <w:uiPriority w:val="1"/>
    <w:qFormat/>
    <w:rsid w:val="00FB4278"/>
    <w:rPr>
      <w:sz w:val="24"/>
      <w:szCs w:val="24"/>
    </w:rPr>
  </w:style>
  <w:style w:type="character" w:customStyle="1" w:styleId="BodyTextChar">
    <w:name w:val="Body Text Char"/>
    <w:basedOn w:val="DefaultParagraphFont"/>
    <w:link w:val="BodyText"/>
    <w:uiPriority w:val="1"/>
    <w:rsid w:val="00FB4278"/>
    <w:rPr>
      <w:rFonts w:ascii="Calibri" w:eastAsia="Calibri" w:hAnsi="Calibri" w:cs="Calibri"/>
      <w:sz w:val="24"/>
      <w:szCs w:val="24"/>
    </w:rPr>
  </w:style>
  <w:style w:type="paragraph" w:styleId="Header">
    <w:name w:val="header"/>
    <w:basedOn w:val="Normal"/>
    <w:link w:val="HeaderChar"/>
    <w:uiPriority w:val="99"/>
    <w:unhideWhenUsed/>
    <w:rsid w:val="00FB4278"/>
    <w:pPr>
      <w:tabs>
        <w:tab w:val="center" w:pos="4680"/>
        <w:tab w:val="right" w:pos="9360"/>
      </w:tabs>
    </w:pPr>
  </w:style>
  <w:style w:type="character" w:customStyle="1" w:styleId="HeaderChar">
    <w:name w:val="Header Char"/>
    <w:basedOn w:val="DefaultParagraphFont"/>
    <w:link w:val="Header"/>
    <w:uiPriority w:val="99"/>
    <w:rsid w:val="00FB4278"/>
    <w:rPr>
      <w:rFonts w:ascii="Calibri" w:eastAsia="Calibri" w:hAnsi="Calibri" w:cs="Calibri"/>
    </w:rPr>
  </w:style>
  <w:style w:type="paragraph" w:styleId="Footer">
    <w:name w:val="footer"/>
    <w:basedOn w:val="Normal"/>
    <w:link w:val="FooterChar"/>
    <w:uiPriority w:val="99"/>
    <w:unhideWhenUsed/>
    <w:rsid w:val="00FB4278"/>
    <w:pPr>
      <w:tabs>
        <w:tab w:val="center" w:pos="4680"/>
        <w:tab w:val="right" w:pos="9360"/>
      </w:tabs>
    </w:pPr>
  </w:style>
  <w:style w:type="character" w:customStyle="1" w:styleId="FooterChar">
    <w:name w:val="Footer Char"/>
    <w:basedOn w:val="DefaultParagraphFont"/>
    <w:link w:val="Footer"/>
    <w:uiPriority w:val="99"/>
    <w:rsid w:val="00FB4278"/>
    <w:rPr>
      <w:rFonts w:ascii="Calibri" w:eastAsia="Calibri" w:hAnsi="Calibri" w:cs="Calibri"/>
    </w:rPr>
  </w:style>
  <w:style w:type="character" w:styleId="Hyperlink">
    <w:name w:val="Hyperlink"/>
    <w:basedOn w:val="DefaultParagraphFont"/>
    <w:uiPriority w:val="99"/>
    <w:unhideWhenUsed/>
    <w:rsid w:val="00FB4278"/>
    <w:rPr>
      <w:color w:val="0563C1" w:themeColor="hyperlink"/>
      <w:u w:val="single"/>
    </w:rPr>
  </w:style>
  <w:style w:type="paragraph" w:styleId="ListParagraph">
    <w:name w:val="List Paragraph"/>
    <w:basedOn w:val="Normal"/>
    <w:uiPriority w:val="34"/>
    <w:qFormat/>
    <w:rsid w:val="00567D1D"/>
    <w:pPr>
      <w:ind w:left="720"/>
      <w:contextualSpacing/>
    </w:pPr>
  </w:style>
  <w:style w:type="character" w:styleId="UnresolvedMention">
    <w:name w:val="Unresolved Mention"/>
    <w:basedOn w:val="DefaultParagraphFont"/>
    <w:uiPriority w:val="99"/>
    <w:semiHidden/>
    <w:unhideWhenUsed/>
    <w:rsid w:val="003D794C"/>
    <w:rPr>
      <w:color w:val="605E5C"/>
      <w:shd w:val="clear" w:color="auto" w:fill="E1DFDD"/>
    </w:rPr>
  </w:style>
  <w:style w:type="character" w:styleId="CommentReference">
    <w:name w:val="annotation reference"/>
    <w:basedOn w:val="DefaultParagraphFont"/>
    <w:uiPriority w:val="99"/>
    <w:semiHidden/>
    <w:unhideWhenUsed/>
    <w:rsid w:val="00D111C0"/>
    <w:rPr>
      <w:sz w:val="16"/>
      <w:szCs w:val="16"/>
    </w:rPr>
  </w:style>
  <w:style w:type="paragraph" w:styleId="CommentText">
    <w:name w:val="annotation text"/>
    <w:basedOn w:val="Normal"/>
    <w:link w:val="CommentTextChar"/>
    <w:uiPriority w:val="99"/>
    <w:unhideWhenUsed/>
    <w:rsid w:val="00D111C0"/>
    <w:rPr>
      <w:sz w:val="20"/>
      <w:szCs w:val="20"/>
    </w:rPr>
  </w:style>
  <w:style w:type="character" w:customStyle="1" w:styleId="CommentTextChar">
    <w:name w:val="Comment Text Char"/>
    <w:basedOn w:val="DefaultParagraphFont"/>
    <w:link w:val="CommentText"/>
    <w:uiPriority w:val="99"/>
    <w:rsid w:val="00D111C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11C0"/>
    <w:rPr>
      <w:b/>
      <w:bCs/>
    </w:rPr>
  </w:style>
  <w:style w:type="character" w:customStyle="1" w:styleId="CommentSubjectChar">
    <w:name w:val="Comment Subject Char"/>
    <w:basedOn w:val="CommentTextChar"/>
    <w:link w:val="CommentSubject"/>
    <w:uiPriority w:val="99"/>
    <w:semiHidden/>
    <w:rsid w:val="00D111C0"/>
    <w:rPr>
      <w:rFonts w:ascii="Calibri" w:eastAsia="Calibri" w:hAnsi="Calibri" w:cs="Calibri"/>
      <w:b/>
      <w:bCs/>
      <w:sz w:val="20"/>
      <w:szCs w:val="20"/>
    </w:rPr>
  </w:style>
  <w:style w:type="paragraph" w:styleId="Revision">
    <w:name w:val="Revision"/>
    <w:hidden/>
    <w:uiPriority w:val="99"/>
    <w:semiHidden/>
    <w:rsid w:val="009F2C1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0487">
      <w:bodyDiv w:val="1"/>
      <w:marLeft w:val="0"/>
      <w:marRight w:val="0"/>
      <w:marTop w:val="0"/>
      <w:marBottom w:val="0"/>
      <w:divBdr>
        <w:top w:val="none" w:sz="0" w:space="0" w:color="auto"/>
        <w:left w:val="none" w:sz="0" w:space="0" w:color="auto"/>
        <w:bottom w:val="none" w:sz="0" w:space="0" w:color="auto"/>
        <w:right w:val="none" w:sz="0" w:space="0" w:color="auto"/>
      </w:divBdr>
      <w:divsChild>
        <w:div w:id="520322591">
          <w:marLeft w:val="360"/>
          <w:marRight w:val="0"/>
          <w:marTop w:val="200"/>
          <w:marBottom w:val="0"/>
          <w:divBdr>
            <w:top w:val="none" w:sz="0" w:space="0" w:color="auto"/>
            <w:left w:val="none" w:sz="0" w:space="0" w:color="auto"/>
            <w:bottom w:val="none" w:sz="0" w:space="0" w:color="auto"/>
            <w:right w:val="none" w:sz="0" w:space="0" w:color="auto"/>
          </w:divBdr>
        </w:div>
        <w:div w:id="616718032">
          <w:marLeft w:val="1080"/>
          <w:marRight w:val="0"/>
          <w:marTop w:val="100"/>
          <w:marBottom w:val="0"/>
          <w:divBdr>
            <w:top w:val="none" w:sz="0" w:space="0" w:color="auto"/>
            <w:left w:val="none" w:sz="0" w:space="0" w:color="auto"/>
            <w:bottom w:val="none" w:sz="0" w:space="0" w:color="auto"/>
            <w:right w:val="none" w:sz="0" w:space="0" w:color="auto"/>
          </w:divBdr>
        </w:div>
      </w:divsChild>
    </w:div>
    <w:div w:id="210727691">
      <w:bodyDiv w:val="1"/>
      <w:marLeft w:val="0"/>
      <w:marRight w:val="0"/>
      <w:marTop w:val="0"/>
      <w:marBottom w:val="0"/>
      <w:divBdr>
        <w:top w:val="none" w:sz="0" w:space="0" w:color="auto"/>
        <w:left w:val="none" w:sz="0" w:space="0" w:color="auto"/>
        <w:bottom w:val="none" w:sz="0" w:space="0" w:color="auto"/>
        <w:right w:val="none" w:sz="0" w:space="0" w:color="auto"/>
      </w:divBdr>
      <w:divsChild>
        <w:div w:id="1018390791">
          <w:marLeft w:val="360"/>
          <w:marRight w:val="0"/>
          <w:marTop w:val="200"/>
          <w:marBottom w:val="0"/>
          <w:divBdr>
            <w:top w:val="none" w:sz="0" w:space="0" w:color="auto"/>
            <w:left w:val="none" w:sz="0" w:space="0" w:color="auto"/>
            <w:bottom w:val="none" w:sz="0" w:space="0" w:color="auto"/>
            <w:right w:val="none" w:sz="0" w:space="0" w:color="auto"/>
          </w:divBdr>
        </w:div>
        <w:div w:id="1086656056">
          <w:marLeft w:val="360"/>
          <w:marRight w:val="0"/>
          <w:marTop w:val="200"/>
          <w:marBottom w:val="0"/>
          <w:divBdr>
            <w:top w:val="none" w:sz="0" w:space="0" w:color="auto"/>
            <w:left w:val="none" w:sz="0" w:space="0" w:color="auto"/>
            <w:bottom w:val="none" w:sz="0" w:space="0" w:color="auto"/>
            <w:right w:val="none" w:sz="0" w:space="0" w:color="auto"/>
          </w:divBdr>
        </w:div>
      </w:divsChild>
    </w:div>
    <w:div w:id="294989672">
      <w:bodyDiv w:val="1"/>
      <w:marLeft w:val="0"/>
      <w:marRight w:val="0"/>
      <w:marTop w:val="0"/>
      <w:marBottom w:val="0"/>
      <w:divBdr>
        <w:top w:val="none" w:sz="0" w:space="0" w:color="auto"/>
        <w:left w:val="none" w:sz="0" w:space="0" w:color="auto"/>
        <w:bottom w:val="none" w:sz="0" w:space="0" w:color="auto"/>
        <w:right w:val="none" w:sz="0" w:space="0" w:color="auto"/>
      </w:divBdr>
      <w:divsChild>
        <w:div w:id="1411192245">
          <w:marLeft w:val="360"/>
          <w:marRight w:val="0"/>
          <w:marTop w:val="200"/>
          <w:marBottom w:val="0"/>
          <w:divBdr>
            <w:top w:val="none" w:sz="0" w:space="0" w:color="auto"/>
            <w:left w:val="none" w:sz="0" w:space="0" w:color="auto"/>
            <w:bottom w:val="none" w:sz="0" w:space="0" w:color="auto"/>
            <w:right w:val="none" w:sz="0" w:space="0" w:color="auto"/>
          </w:divBdr>
        </w:div>
        <w:div w:id="1644654227">
          <w:marLeft w:val="1080"/>
          <w:marRight w:val="0"/>
          <w:marTop w:val="100"/>
          <w:marBottom w:val="0"/>
          <w:divBdr>
            <w:top w:val="none" w:sz="0" w:space="0" w:color="auto"/>
            <w:left w:val="none" w:sz="0" w:space="0" w:color="auto"/>
            <w:bottom w:val="none" w:sz="0" w:space="0" w:color="auto"/>
            <w:right w:val="none" w:sz="0" w:space="0" w:color="auto"/>
          </w:divBdr>
        </w:div>
        <w:div w:id="1093667939">
          <w:marLeft w:val="360"/>
          <w:marRight w:val="0"/>
          <w:marTop w:val="200"/>
          <w:marBottom w:val="0"/>
          <w:divBdr>
            <w:top w:val="none" w:sz="0" w:space="0" w:color="auto"/>
            <w:left w:val="none" w:sz="0" w:space="0" w:color="auto"/>
            <w:bottom w:val="none" w:sz="0" w:space="0" w:color="auto"/>
            <w:right w:val="none" w:sz="0" w:space="0" w:color="auto"/>
          </w:divBdr>
        </w:div>
        <w:div w:id="628439858">
          <w:marLeft w:val="1080"/>
          <w:marRight w:val="0"/>
          <w:marTop w:val="100"/>
          <w:marBottom w:val="0"/>
          <w:divBdr>
            <w:top w:val="none" w:sz="0" w:space="0" w:color="auto"/>
            <w:left w:val="none" w:sz="0" w:space="0" w:color="auto"/>
            <w:bottom w:val="none" w:sz="0" w:space="0" w:color="auto"/>
            <w:right w:val="none" w:sz="0" w:space="0" w:color="auto"/>
          </w:divBdr>
        </w:div>
        <w:div w:id="889195707">
          <w:marLeft w:val="360"/>
          <w:marRight w:val="0"/>
          <w:marTop w:val="200"/>
          <w:marBottom w:val="0"/>
          <w:divBdr>
            <w:top w:val="none" w:sz="0" w:space="0" w:color="auto"/>
            <w:left w:val="none" w:sz="0" w:space="0" w:color="auto"/>
            <w:bottom w:val="none" w:sz="0" w:space="0" w:color="auto"/>
            <w:right w:val="none" w:sz="0" w:space="0" w:color="auto"/>
          </w:divBdr>
        </w:div>
        <w:div w:id="32584641">
          <w:marLeft w:val="1080"/>
          <w:marRight w:val="0"/>
          <w:marTop w:val="100"/>
          <w:marBottom w:val="0"/>
          <w:divBdr>
            <w:top w:val="none" w:sz="0" w:space="0" w:color="auto"/>
            <w:left w:val="none" w:sz="0" w:space="0" w:color="auto"/>
            <w:bottom w:val="none" w:sz="0" w:space="0" w:color="auto"/>
            <w:right w:val="none" w:sz="0" w:space="0" w:color="auto"/>
          </w:divBdr>
        </w:div>
      </w:divsChild>
    </w:div>
    <w:div w:id="612632188">
      <w:bodyDiv w:val="1"/>
      <w:marLeft w:val="0"/>
      <w:marRight w:val="0"/>
      <w:marTop w:val="0"/>
      <w:marBottom w:val="0"/>
      <w:divBdr>
        <w:top w:val="none" w:sz="0" w:space="0" w:color="auto"/>
        <w:left w:val="none" w:sz="0" w:space="0" w:color="auto"/>
        <w:bottom w:val="none" w:sz="0" w:space="0" w:color="auto"/>
        <w:right w:val="none" w:sz="0" w:space="0" w:color="auto"/>
      </w:divBdr>
      <w:divsChild>
        <w:div w:id="1305741754">
          <w:marLeft w:val="360"/>
          <w:marRight w:val="0"/>
          <w:marTop w:val="200"/>
          <w:marBottom w:val="0"/>
          <w:divBdr>
            <w:top w:val="none" w:sz="0" w:space="0" w:color="auto"/>
            <w:left w:val="none" w:sz="0" w:space="0" w:color="auto"/>
            <w:bottom w:val="none" w:sz="0" w:space="0" w:color="auto"/>
            <w:right w:val="none" w:sz="0" w:space="0" w:color="auto"/>
          </w:divBdr>
        </w:div>
      </w:divsChild>
    </w:div>
    <w:div w:id="685443002">
      <w:bodyDiv w:val="1"/>
      <w:marLeft w:val="0"/>
      <w:marRight w:val="0"/>
      <w:marTop w:val="0"/>
      <w:marBottom w:val="0"/>
      <w:divBdr>
        <w:top w:val="none" w:sz="0" w:space="0" w:color="auto"/>
        <w:left w:val="none" w:sz="0" w:space="0" w:color="auto"/>
        <w:bottom w:val="none" w:sz="0" w:space="0" w:color="auto"/>
        <w:right w:val="none" w:sz="0" w:space="0" w:color="auto"/>
      </w:divBdr>
      <w:divsChild>
        <w:div w:id="898906428">
          <w:marLeft w:val="360"/>
          <w:marRight w:val="0"/>
          <w:marTop w:val="200"/>
          <w:marBottom w:val="0"/>
          <w:divBdr>
            <w:top w:val="none" w:sz="0" w:space="0" w:color="auto"/>
            <w:left w:val="none" w:sz="0" w:space="0" w:color="auto"/>
            <w:bottom w:val="none" w:sz="0" w:space="0" w:color="auto"/>
            <w:right w:val="none" w:sz="0" w:space="0" w:color="auto"/>
          </w:divBdr>
        </w:div>
        <w:div w:id="153496067">
          <w:marLeft w:val="1080"/>
          <w:marRight w:val="0"/>
          <w:marTop w:val="100"/>
          <w:marBottom w:val="0"/>
          <w:divBdr>
            <w:top w:val="none" w:sz="0" w:space="0" w:color="auto"/>
            <w:left w:val="none" w:sz="0" w:space="0" w:color="auto"/>
            <w:bottom w:val="none" w:sz="0" w:space="0" w:color="auto"/>
            <w:right w:val="none" w:sz="0" w:space="0" w:color="auto"/>
          </w:divBdr>
        </w:div>
        <w:div w:id="1577862714">
          <w:marLeft w:val="360"/>
          <w:marRight w:val="0"/>
          <w:marTop w:val="200"/>
          <w:marBottom w:val="0"/>
          <w:divBdr>
            <w:top w:val="none" w:sz="0" w:space="0" w:color="auto"/>
            <w:left w:val="none" w:sz="0" w:space="0" w:color="auto"/>
            <w:bottom w:val="none" w:sz="0" w:space="0" w:color="auto"/>
            <w:right w:val="none" w:sz="0" w:space="0" w:color="auto"/>
          </w:divBdr>
        </w:div>
        <w:div w:id="1246769102">
          <w:marLeft w:val="1080"/>
          <w:marRight w:val="0"/>
          <w:marTop w:val="100"/>
          <w:marBottom w:val="0"/>
          <w:divBdr>
            <w:top w:val="none" w:sz="0" w:space="0" w:color="auto"/>
            <w:left w:val="none" w:sz="0" w:space="0" w:color="auto"/>
            <w:bottom w:val="none" w:sz="0" w:space="0" w:color="auto"/>
            <w:right w:val="none" w:sz="0" w:space="0" w:color="auto"/>
          </w:divBdr>
        </w:div>
        <w:div w:id="1016425725">
          <w:marLeft w:val="360"/>
          <w:marRight w:val="0"/>
          <w:marTop w:val="200"/>
          <w:marBottom w:val="0"/>
          <w:divBdr>
            <w:top w:val="none" w:sz="0" w:space="0" w:color="auto"/>
            <w:left w:val="none" w:sz="0" w:space="0" w:color="auto"/>
            <w:bottom w:val="none" w:sz="0" w:space="0" w:color="auto"/>
            <w:right w:val="none" w:sz="0" w:space="0" w:color="auto"/>
          </w:divBdr>
        </w:div>
        <w:div w:id="265700571">
          <w:marLeft w:val="1080"/>
          <w:marRight w:val="0"/>
          <w:marTop w:val="100"/>
          <w:marBottom w:val="0"/>
          <w:divBdr>
            <w:top w:val="none" w:sz="0" w:space="0" w:color="auto"/>
            <w:left w:val="none" w:sz="0" w:space="0" w:color="auto"/>
            <w:bottom w:val="none" w:sz="0" w:space="0" w:color="auto"/>
            <w:right w:val="none" w:sz="0" w:space="0" w:color="auto"/>
          </w:divBdr>
        </w:div>
      </w:divsChild>
    </w:div>
    <w:div w:id="1377467838">
      <w:bodyDiv w:val="1"/>
      <w:marLeft w:val="0"/>
      <w:marRight w:val="0"/>
      <w:marTop w:val="0"/>
      <w:marBottom w:val="0"/>
      <w:divBdr>
        <w:top w:val="none" w:sz="0" w:space="0" w:color="auto"/>
        <w:left w:val="none" w:sz="0" w:space="0" w:color="auto"/>
        <w:bottom w:val="none" w:sz="0" w:space="0" w:color="auto"/>
        <w:right w:val="none" w:sz="0" w:space="0" w:color="auto"/>
      </w:divBdr>
    </w:div>
    <w:div w:id="1482235575">
      <w:bodyDiv w:val="1"/>
      <w:marLeft w:val="0"/>
      <w:marRight w:val="0"/>
      <w:marTop w:val="0"/>
      <w:marBottom w:val="0"/>
      <w:divBdr>
        <w:top w:val="none" w:sz="0" w:space="0" w:color="auto"/>
        <w:left w:val="none" w:sz="0" w:space="0" w:color="auto"/>
        <w:bottom w:val="none" w:sz="0" w:space="0" w:color="auto"/>
        <w:right w:val="none" w:sz="0" w:space="0" w:color="auto"/>
      </w:divBdr>
      <w:divsChild>
        <w:div w:id="1438914998">
          <w:marLeft w:val="360"/>
          <w:marRight w:val="0"/>
          <w:marTop w:val="200"/>
          <w:marBottom w:val="0"/>
          <w:divBdr>
            <w:top w:val="none" w:sz="0" w:space="0" w:color="auto"/>
            <w:left w:val="none" w:sz="0" w:space="0" w:color="auto"/>
            <w:bottom w:val="none" w:sz="0" w:space="0" w:color="auto"/>
            <w:right w:val="none" w:sz="0" w:space="0" w:color="auto"/>
          </w:divBdr>
        </w:div>
      </w:divsChild>
    </w:div>
    <w:div w:id="1655185973">
      <w:bodyDiv w:val="1"/>
      <w:marLeft w:val="0"/>
      <w:marRight w:val="0"/>
      <w:marTop w:val="0"/>
      <w:marBottom w:val="0"/>
      <w:divBdr>
        <w:top w:val="none" w:sz="0" w:space="0" w:color="auto"/>
        <w:left w:val="none" w:sz="0" w:space="0" w:color="auto"/>
        <w:bottom w:val="none" w:sz="0" w:space="0" w:color="auto"/>
        <w:right w:val="none" w:sz="0" w:space="0" w:color="auto"/>
      </w:divBdr>
    </w:div>
    <w:div w:id="1698774655">
      <w:bodyDiv w:val="1"/>
      <w:marLeft w:val="0"/>
      <w:marRight w:val="0"/>
      <w:marTop w:val="0"/>
      <w:marBottom w:val="0"/>
      <w:divBdr>
        <w:top w:val="none" w:sz="0" w:space="0" w:color="auto"/>
        <w:left w:val="none" w:sz="0" w:space="0" w:color="auto"/>
        <w:bottom w:val="none" w:sz="0" w:space="0" w:color="auto"/>
        <w:right w:val="none" w:sz="0" w:space="0" w:color="auto"/>
      </w:divBdr>
    </w:div>
    <w:div w:id="1881547622">
      <w:bodyDiv w:val="1"/>
      <w:marLeft w:val="0"/>
      <w:marRight w:val="0"/>
      <w:marTop w:val="0"/>
      <w:marBottom w:val="0"/>
      <w:divBdr>
        <w:top w:val="none" w:sz="0" w:space="0" w:color="auto"/>
        <w:left w:val="none" w:sz="0" w:space="0" w:color="auto"/>
        <w:bottom w:val="none" w:sz="0" w:space="0" w:color="auto"/>
        <w:right w:val="none" w:sz="0" w:space="0" w:color="auto"/>
      </w:divBdr>
      <w:divsChild>
        <w:div w:id="14619966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A55068F98C2449A1EC1B449DF22BD" ma:contentTypeVersion="11" ma:contentTypeDescription="Create a new document." ma:contentTypeScope="" ma:versionID="bfd30b238dcd310966a8c614c2f83811">
  <xsd:schema xmlns:xsd="http://www.w3.org/2001/XMLSchema" xmlns:xs="http://www.w3.org/2001/XMLSchema" xmlns:p="http://schemas.microsoft.com/office/2006/metadata/properties" targetNamespace="http://schemas.microsoft.com/office/2006/metadata/properties" ma:root="true" ma:fieldsID="cdc0f480c4674b5b6708d638a1d47b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2D9D7-A21B-4232-B9C6-686FB941D132}"/>
</file>

<file path=customXml/itemProps2.xml><?xml version="1.0" encoding="utf-8"?>
<ds:datastoreItem xmlns:ds="http://schemas.openxmlformats.org/officeDocument/2006/customXml" ds:itemID="{3925A6E3-8C90-4812-8725-1B558873AB49}"/>
</file>

<file path=customXml/itemProps3.xml><?xml version="1.0" encoding="utf-8"?>
<ds:datastoreItem xmlns:ds="http://schemas.openxmlformats.org/officeDocument/2006/customXml" ds:itemID="{10B5E0C4-D75B-4DED-B632-4A8170E515E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dc:description/>
  <cp:lastModifiedBy>LUCY KARANJA</cp:lastModifiedBy>
  <cp:revision>2</cp:revision>
  <dcterms:created xsi:type="dcterms:W3CDTF">2022-12-01T17:32:00Z</dcterms:created>
  <dcterms:modified xsi:type="dcterms:W3CDTF">2022-12-01T17:32:00Z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0x0101004ACA55068F98C2449A1EC1B449DF22BD</vt:lpwstr>
  </property>
</Properties>
</file>