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D756A" w14:textId="77777777" w:rsidR="00FB4278" w:rsidRPr="00DD5B16" w:rsidRDefault="00FB4278" w:rsidP="00FB4278">
      <w:pPr>
        <w:pStyle w:val="BodyText"/>
        <w:ind w:left="4200"/>
        <w:rPr>
          <w:rFonts w:ascii="Times New Roman"/>
          <w:sz w:val="20"/>
        </w:rPr>
      </w:pPr>
      <w:r w:rsidRPr="00DD5B16">
        <w:rPr>
          <w:rFonts w:ascii="Times New Roman"/>
          <w:noProof/>
          <w:sz w:val="20"/>
        </w:rPr>
        <w:drawing>
          <wp:inline distT="0" distB="0" distL="0" distR="0" wp14:anchorId="09BFB18F" wp14:editId="1A0B6DAE">
            <wp:extent cx="1321231" cy="980408"/>
            <wp:effectExtent l="0" t="0" r="0" b="0"/>
            <wp:docPr id="1" name="image1.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con&#10;&#10;Description automatically generated"/>
                    <pic:cNvPicPr/>
                  </pic:nvPicPr>
                  <pic:blipFill>
                    <a:blip r:embed="rId7" cstate="print"/>
                    <a:stretch>
                      <a:fillRect/>
                    </a:stretch>
                  </pic:blipFill>
                  <pic:spPr>
                    <a:xfrm>
                      <a:off x="0" y="0"/>
                      <a:ext cx="1321231" cy="980408"/>
                    </a:xfrm>
                    <a:prstGeom prst="rect">
                      <a:avLst/>
                    </a:prstGeom>
                  </pic:spPr>
                </pic:pic>
              </a:graphicData>
            </a:graphic>
          </wp:inline>
        </w:drawing>
      </w:r>
    </w:p>
    <w:p w14:paraId="601E4776" w14:textId="77777777" w:rsidR="00FB4278" w:rsidRPr="00DD5B16" w:rsidRDefault="00FB4278" w:rsidP="00FB4278">
      <w:pPr>
        <w:pStyle w:val="BodyText"/>
        <w:rPr>
          <w:rFonts w:ascii="Times New Roman"/>
          <w:sz w:val="15"/>
        </w:rPr>
      </w:pPr>
    </w:p>
    <w:p w14:paraId="04A85F8C" w14:textId="77777777" w:rsidR="00FB4278" w:rsidRPr="00DD5B16" w:rsidRDefault="00FB4278" w:rsidP="000A0D70">
      <w:pPr>
        <w:ind w:firstLine="6"/>
        <w:jc w:val="center"/>
        <w:rPr>
          <w:b/>
          <w:sz w:val="24"/>
        </w:rPr>
      </w:pPr>
      <w:r w:rsidRPr="00DD5B16">
        <w:rPr>
          <w:b/>
          <w:sz w:val="24"/>
        </w:rPr>
        <w:t>Office of Pharmacy Services Medicaid Pharmacy Program</w:t>
      </w:r>
    </w:p>
    <w:p w14:paraId="4A6643FE" w14:textId="77777777" w:rsidR="00FB4278" w:rsidRDefault="00FB4278" w:rsidP="000A0D70">
      <w:pPr>
        <w:jc w:val="center"/>
        <w:rPr>
          <w:b/>
          <w:sz w:val="24"/>
        </w:rPr>
      </w:pPr>
      <w:r w:rsidRPr="00DD5B16">
        <w:rPr>
          <w:b/>
          <w:sz w:val="24"/>
        </w:rPr>
        <w:t xml:space="preserve">Drug Utilization Review (DUR) </w:t>
      </w:r>
      <w:r>
        <w:rPr>
          <w:b/>
          <w:sz w:val="24"/>
        </w:rPr>
        <w:t>B</w:t>
      </w:r>
      <w:r w:rsidRPr="00DD5B16">
        <w:rPr>
          <w:b/>
          <w:sz w:val="24"/>
        </w:rPr>
        <w:t>oard</w:t>
      </w:r>
      <w:r>
        <w:rPr>
          <w:b/>
          <w:sz w:val="24"/>
        </w:rPr>
        <w:t xml:space="preserve"> </w:t>
      </w:r>
    </w:p>
    <w:p w14:paraId="504B41B6" w14:textId="77777777" w:rsidR="00FB4278" w:rsidRPr="00DD5B16" w:rsidRDefault="00FB4278" w:rsidP="000A0D70">
      <w:pPr>
        <w:jc w:val="center"/>
        <w:rPr>
          <w:b/>
          <w:sz w:val="24"/>
        </w:rPr>
      </w:pPr>
      <w:r w:rsidRPr="00DD5B16">
        <w:rPr>
          <w:b/>
          <w:sz w:val="24"/>
        </w:rPr>
        <w:t xml:space="preserve">Thursday, </w:t>
      </w:r>
      <w:r>
        <w:rPr>
          <w:b/>
          <w:sz w:val="24"/>
        </w:rPr>
        <w:t>March 3</w:t>
      </w:r>
      <w:r w:rsidRPr="00DD5B16">
        <w:rPr>
          <w:b/>
          <w:sz w:val="24"/>
        </w:rPr>
        <w:t>, 202</w:t>
      </w:r>
      <w:r>
        <w:rPr>
          <w:b/>
          <w:sz w:val="24"/>
        </w:rPr>
        <w:t>2</w:t>
      </w:r>
    </w:p>
    <w:p w14:paraId="7224C62B" w14:textId="77777777" w:rsidR="00FB4278" w:rsidRPr="00DD5B16" w:rsidRDefault="00FB4278" w:rsidP="000A0D70">
      <w:pPr>
        <w:jc w:val="center"/>
        <w:rPr>
          <w:b/>
          <w:sz w:val="24"/>
        </w:rPr>
      </w:pPr>
      <w:r w:rsidRPr="00DD5B16">
        <w:rPr>
          <w:b/>
          <w:sz w:val="24"/>
        </w:rPr>
        <w:t>Meeting Minutes</w:t>
      </w:r>
    </w:p>
    <w:p w14:paraId="07D364C6" w14:textId="77777777" w:rsidR="00FB4278" w:rsidRPr="00DD5B16" w:rsidRDefault="00FB4278" w:rsidP="00FB4278">
      <w:pPr>
        <w:pStyle w:val="BodyText"/>
        <w:rPr>
          <w:b/>
          <w:sz w:val="22"/>
        </w:rPr>
      </w:pPr>
    </w:p>
    <w:p w14:paraId="1DB1F92E" w14:textId="685A1B65" w:rsidR="000A0D70" w:rsidRPr="000A0D70" w:rsidRDefault="002D7542" w:rsidP="000A0D70">
      <w:pPr>
        <w:rPr>
          <w:b/>
          <w:sz w:val="24"/>
          <w:szCs w:val="24"/>
        </w:rPr>
      </w:pPr>
      <w:r>
        <w:rPr>
          <w:b/>
          <w:sz w:val="24"/>
          <w:szCs w:val="24"/>
        </w:rPr>
        <w:t>DUR Board</w:t>
      </w:r>
      <w:r w:rsidR="000A0D70" w:rsidRPr="000A0D70">
        <w:rPr>
          <w:b/>
          <w:sz w:val="24"/>
          <w:szCs w:val="24"/>
        </w:rPr>
        <w:t xml:space="preserve"> Members: </w:t>
      </w:r>
      <w:r w:rsidR="000A0D70" w:rsidRPr="000A0D70">
        <w:rPr>
          <w:bCs/>
          <w:sz w:val="24"/>
          <w:szCs w:val="24"/>
        </w:rPr>
        <w:t>B. Gayle,</w:t>
      </w:r>
      <w:r w:rsidR="000A0D70" w:rsidRPr="000A0D70">
        <w:rPr>
          <w:b/>
          <w:sz w:val="24"/>
          <w:szCs w:val="24"/>
        </w:rPr>
        <w:t xml:space="preserve"> </w:t>
      </w:r>
      <w:r w:rsidR="000A0D70" w:rsidRPr="000A0D70">
        <w:rPr>
          <w:bCs/>
          <w:sz w:val="24"/>
          <w:szCs w:val="24"/>
        </w:rPr>
        <w:t>M. Healy,</w:t>
      </w:r>
      <w:r w:rsidR="000A0D70" w:rsidRPr="000A0D70">
        <w:rPr>
          <w:b/>
          <w:sz w:val="24"/>
          <w:szCs w:val="24"/>
        </w:rPr>
        <w:t xml:space="preserve"> </w:t>
      </w:r>
      <w:r w:rsidR="000A0D70" w:rsidRPr="000A0D70">
        <w:rPr>
          <w:bCs/>
          <w:sz w:val="24"/>
          <w:szCs w:val="24"/>
        </w:rPr>
        <w:t>B. Hose,</w:t>
      </w:r>
      <w:r w:rsidR="000A0D70" w:rsidRPr="000A0D70">
        <w:rPr>
          <w:b/>
          <w:sz w:val="24"/>
          <w:szCs w:val="24"/>
        </w:rPr>
        <w:t xml:space="preserve"> </w:t>
      </w:r>
      <w:r w:rsidR="000A0D70" w:rsidRPr="000A0D70">
        <w:rPr>
          <w:bCs/>
          <w:sz w:val="24"/>
          <w:szCs w:val="24"/>
        </w:rPr>
        <w:t>C. Lefebvre, M. McDonald, N. McGarvey, J. Merrey,</w:t>
      </w:r>
      <w:r w:rsidR="000A0D70" w:rsidRPr="000A0D70">
        <w:rPr>
          <w:b/>
          <w:sz w:val="24"/>
          <w:szCs w:val="24"/>
        </w:rPr>
        <w:t xml:space="preserve"> </w:t>
      </w:r>
      <w:r w:rsidR="000A0D70" w:rsidRPr="000A0D70">
        <w:rPr>
          <w:bCs/>
          <w:sz w:val="24"/>
          <w:szCs w:val="24"/>
        </w:rPr>
        <w:t>C. Onyewu, S. Papesh,</w:t>
      </w:r>
      <w:r w:rsidR="000A0D70" w:rsidRPr="000A0D70">
        <w:rPr>
          <w:b/>
          <w:sz w:val="24"/>
          <w:szCs w:val="24"/>
        </w:rPr>
        <w:t xml:space="preserve"> </w:t>
      </w:r>
      <w:r w:rsidR="000A0D70" w:rsidRPr="000A0D70">
        <w:rPr>
          <w:bCs/>
          <w:sz w:val="24"/>
          <w:szCs w:val="24"/>
        </w:rPr>
        <w:t>M. Poplawski, B. Shaw</w:t>
      </w:r>
    </w:p>
    <w:p w14:paraId="4FB11AAC" w14:textId="7D7FB18D" w:rsidR="000A0D70" w:rsidRPr="000A0D70" w:rsidRDefault="000A0D70" w:rsidP="000A0D70">
      <w:pPr>
        <w:rPr>
          <w:bCs/>
          <w:sz w:val="24"/>
          <w:szCs w:val="24"/>
        </w:rPr>
      </w:pPr>
      <w:r w:rsidRPr="000A0D70">
        <w:rPr>
          <w:b/>
          <w:sz w:val="24"/>
          <w:szCs w:val="24"/>
        </w:rPr>
        <w:t xml:space="preserve">Office of Pharmacy Services (OPS): </w:t>
      </w:r>
      <w:r w:rsidRPr="000A0D70">
        <w:rPr>
          <w:bCs/>
          <w:sz w:val="24"/>
          <w:szCs w:val="24"/>
        </w:rPr>
        <w:t xml:space="preserve">A. Alexandrou, </w:t>
      </w:r>
      <w:r w:rsidR="005077B1" w:rsidRPr="005077B1">
        <w:rPr>
          <w:bCs/>
          <w:sz w:val="24"/>
          <w:szCs w:val="24"/>
        </w:rPr>
        <w:t xml:space="preserve">I. Frank, </w:t>
      </w:r>
      <w:r w:rsidRPr="000A0D70">
        <w:rPr>
          <w:bCs/>
          <w:sz w:val="24"/>
          <w:szCs w:val="24"/>
        </w:rPr>
        <w:t xml:space="preserve">M. Joglekar, L. Karanja, K. </w:t>
      </w:r>
      <w:r w:rsidR="000A1B5D" w:rsidRPr="000A0D70">
        <w:rPr>
          <w:bCs/>
          <w:sz w:val="24"/>
          <w:szCs w:val="24"/>
        </w:rPr>
        <w:t xml:space="preserve">Rogers, </w:t>
      </w:r>
      <w:r w:rsidR="000A1B5D">
        <w:rPr>
          <w:bCs/>
          <w:sz w:val="24"/>
          <w:szCs w:val="24"/>
        </w:rPr>
        <w:t>A.</w:t>
      </w:r>
      <w:r w:rsidRPr="000A0D70">
        <w:rPr>
          <w:bCs/>
          <w:sz w:val="24"/>
          <w:szCs w:val="24"/>
        </w:rPr>
        <w:t xml:space="preserve"> Solomon</w:t>
      </w:r>
    </w:p>
    <w:p w14:paraId="585924D4" w14:textId="3C0A740B" w:rsidR="000A0D70" w:rsidRPr="000A0D70" w:rsidRDefault="000A0D70" w:rsidP="000A0D70">
      <w:pPr>
        <w:rPr>
          <w:b/>
          <w:sz w:val="24"/>
          <w:szCs w:val="24"/>
        </w:rPr>
      </w:pPr>
      <w:r w:rsidRPr="000A0D70">
        <w:rPr>
          <w:b/>
          <w:sz w:val="24"/>
          <w:szCs w:val="24"/>
        </w:rPr>
        <w:t xml:space="preserve">Maryland Department of Health: </w:t>
      </w:r>
      <w:r w:rsidRPr="000A0D70">
        <w:rPr>
          <w:bCs/>
          <w:sz w:val="24"/>
          <w:szCs w:val="24"/>
        </w:rPr>
        <w:t>L. Burgess</w:t>
      </w:r>
      <w:r w:rsidR="00905212">
        <w:rPr>
          <w:bCs/>
          <w:sz w:val="24"/>
          <w:szCs w:val="24"/>
        </w:rPr>
        <w:t>, J. Shorts</w:t>
      </w:r>
    </w:p>
    <w:p w14:paraId="6EE6CBE1" w14:textId="1EDD471E" w:rsidR="000A0D70" w:rsidRPr="000A0D70" w:rsidRDefault="000A0D70" w:rsidP="000A0D70">
      <w:pPr>
        <w:rPr>
          <w:b/>
          <w:sz w:val="24"/>
          <w:szCs w:val="24"/>
        </w:rPr>
      </w:pPr>
      <w:r>
        <w:rPr>
          <w:b/>
          <w:sz w:val="24"/>
          <w:szCs w:val="24"/>
        </w:rPr>
        <w:t>Magellan Health</w:t>
      </w:r>
      <w:r w:rsidRPr="000A0D70">
        <w:rPr>
          <w:b/>
          <w:sz w:val="24"/>
          <w:szCs w:val="24"/>
        </w:rPr>
        <w:t xml:space="preserve">: </w:t>
      </w:r>
      <w:r w:rsidRPr="000A0D70">
        <w:rPr>
          <w:bCs/>
          <w:sz w:val="24"/>
          <w:szCs w:val="24"/>
        </w:rPr>
        <w:t>K. Delaney</w:t>
      </w:r>
    </w:p>
    <w:p w14:paraId="2728620A" w14:textId="09EBEC48" w:rsidR="000A0D70" w:rsidRPr="000A0D70" w:rsidRDefault="000A0D70" w:rsidP="000A0D70">
      <w:pPr>
        <w:rPr>
          <w:b/>
          <w:sz w:val="24"/>
          <w:szCs w:val="24"/>
        </w:rPr>
      </w:pPr>
      <w:r w:rsidRPr="000A0D70">
        <w:rPr>
          <w:b/>
          <w:sz w:val="24"/>
          <w:szCs w:val="24"/>
        </w:rPr>
        <w:t xml:space="preserve">Conduent State Healthcare: </w:t>
      </w:r>
      <w:r w:rsidRPr="000A0D70">
        <w:rPr>
          <w:bCs/>
          <w:sz w:val="24"/>
          <w:szCs w:val="24"/>
        </w:rPr>
        <w:t>T. Lyons</w:t>
      </w:r>
      <w:r w:rsidR="00160278">
        <w:rPr>
          <w:bCs/>
          <w:sz w:val="24"/>
          <w:szCs w:val="24"/>
        </w:rPr>
        <w:t>, C. Ogunremi</w:t>
      </w:r>
    </w:p>
    <w:p w14:paraId="5345D14E" w14:textId="77777777" w:rsidR="000A0D70" w:rsidRPr="000A0D70" w:rsidRDefault="000A0D70" w:rsidP="000A0D70">
      <w:pPr>
        <w:rPr>
          <w:b/>
          <w:sz w:val="24"/>
          <w:szCs w:val="24"/>
        </w:rPr>
      </w:pPr>
      <w:r w:rsidRPr="000A0D70">
        <w:rPr>
          <w:b/>
          <w:sz w:val="24"/>
          <w:szCs w:val="24"/>
        </w:rPr>
        <w:t xml:space="preserve">Kepro: </w:t>
      </w:r>
      <w:r w:rsidRPr="000A0D70">
        <w:rPr>
          <w:bCs/>
          <w:sz w:val="24"/>
          <w:szCs w:val="24"/>
        </w:rPr>
        <w:t>S. Donald, L. Frendak, D. Patel</w:t>
      </w:r>
    </w:p>
    <w:p w14:paraId="387B759A" w14:textId="77777777" w:rsidR="000A0D70" w:rsidRPr="000A0D70" w:rsidRDefault="000A0D70" w:rsidP="000A0D70">
      <w:pPr>
        <w:rPr>
          <w:b/>
          <w:sz w:val="24"/>
          <w:szCs w:val="24"/>
        </w:rPr>
      </w:pPr>
      <w:r w:rsidRPr="000A0D70">
        <w:rPr>
          <w:b/>
          <w:sz w:val="24"/>
          <w:szCs w:val="24"/>
        </w:rPr>
        <w:t xml:space="preserve">Owl Creek Consulting: </w:t>
      </w:r>
      <w:r w:rsidRPr="000A0D70">
        <w:rPr>
          <w:bCs/>
          <w:sz w:val="24"/>
          <w:szCs w:val="24"/>
        </w:rPr>
        <w:t>L. Adelhardt</w:t>
      </w:r>
    </w:p>
    <w:p w14:paraId="735B6DBC" w14:textId="77777777" w:rsidR="000A0D70" w:rsidRPr="000A0D70" w:rsidRDefault="000A0D70" w:rsidP="000A0D70">
      <w:pPr>
        <w:rPr>
          <w:sz w:val="24"/>
          <w:szCs w:val="24"/>
        </w:rPr>
      </w:pPr>
    </w:p>
    <w:p w14:paraId="11786599" w14:textId="332ADD66" w:rsidR="00FB4278" w:rsidRPr="00DD5B16" w:rsidRDefault="00FB4278" w:rsidP="00FB4278">
      <w:pPr>
        <w:pStyle w:val="BodyText"/>
      </w:pPr>
      <w:r w:rsidRPr="00DD5B16">
        <w:t>The Maryland Medicaid Drug Utilization Review (DUR) Board virtual meeting was called to order at 9:</w:t>
      </w:r>
      <w:r w:rsidR="000A0D70">
        <w:t>30</w:t>
      </w:r>
      <w:r w:rsidRPr="00DD5B16">
        <w:t xml:space="preserve"> a.m. on Thursday, </w:t>
      </w:r>
      <w:r w:rsidR="00900F71">
        <w:t>March 3, 2022</w:t>
      </w:r>
      <w:r w:rsidRPr="00DD5B16">
        <w:t xml:space="preserve">, by </w:t>
      </w:r>
      <w:r>
        <w:t>Sarah Papesh</w:t>
      </w:r>
      <w:r w:rsidR="007457F4">
        <w:t>,</w:t>
      </w:r>
      <w:r>
        <w:t xml:space="preserve"> </w:t>
      </w:r>
      <w:r w:rsidRPr="00DD5B16">
        <w:t>Chair of the Board.</w:t>
      </w:r>
    </w:p>
    <w:p w14:paraId="52DE5414" w14:textId="77777777" w:rsidR="00FB4278" w:rsidRPr="00DD5B16" w:rsidRDefault="00FB4278" w:rsidP="00FB4278">
      <w:pPr>
        <w:pStyle w:val="BodyText"/>
        <w:rPr>
          <w:sz w:val="23"/>
        </w:rPr>
      </w:pPr>
    </w:p>
    <w:p w14:paraId="364C77A1" w14:textId="77777777" w:rsidR="00FB4278" w:rsidRPr="00DD5B16" w:rsidRDefault="00FB4278" w:rsidP="00FB4278">
      <w:pPr>
        <w:pStyle w:val="Heading1"/>
        <w:ind w:left="0"/>
      </w:pPr>
      <w:r w:rsidRPr="00DD5B16">
        <w:t>Introductions</w:t>
      </w:r>
    </w:p>
    <w:p w14:paraId="2E9638B3" w14:textId="77777777" w:rsidR="00FB4278" w:rsidRPr="00DD5B16" w:rsidRDefault="00FB4278" w:rsidP="00FB4278">
      <w:pPr>
        <w:pStyle w:val="BodyText"/>
        <w:rPr>
          <w:b/>
        </w:rPr>
      </w:pPr>
    </w:p>
    <w:p w14:paraId="540A035E" w14:textId="77777777" w:rsidR="00FB4278" w:rsidRPr="00DD5B16" w:rsidRDefault="00FB4278" w:rsidP="00FB4278">
      <w:pPr>
        <w:pStyle w:val="BodyText"/>
      </w:pPr>
      <w:r w:rsidRPr="00DD5B16">
        <w:t>The virtual meeting format and participation instructions were presented. A roll call of DUR Board members, affiliated staff, and presenters in attendance was taken.</w:t>
      </w:r>
    </w:p>
    <w:p w14:paraId="1F300CE9" w14:textId="77777777" w:rsidR="00FB4278" w:rsidRPr="00DD5B16" w:rsidRDefault="00FB4278" w:rsidP="00FB4278">
      <w:pPr>
        <w:pStyle w:val="BodyText"/>
        <w:rPr>
          <w:sz w:val="23"/>
        </w:rPr>
      </w:pPr>
    </w:p>
    <w:p w14:paraId="116BFF5E" w14:textId="77777777" w:rsidR="00FB4278" w:rsidRPr="00DD5B16" w:rsidRDefault="00FB4278" w:rsidP="00FB4278">
      <w:pPr>
        <w:pStyle w:val="Heading1"/>
        <w:ind w:left="0"/>
      </w:pPr>
      <w:r w:rsidRPr="00DD5B16">
        <w:t>Minutes</w:t>
      </w:r>
    </w:p>
    <w:p w14:paraId="77307FE1" w14:textId="77777777" w:rsidR="00FB4278" w:rsidRPr="00DD5B16" w:rsidRDefault="00FB4278" w:rsidP="00FB4278">
      <w:pPr>
        <w:pStyle w:val="BodyText"/>
        <w:rPr>
          <w:b/>
          <w:sz w:val="23"/>
        </w:rPr>
      </w:pPr>
    </w:p>
    <w:p w14:paraId="1AA6C690" w14:textId="08D70B9B" w:rsidR="00FB4278" w:rsidRPr="00DD5B16" w:rsidRDefault="00FB4278" w:rsidP="00FB4278">
      <w:pPr>
        <w:pStyle w:val="BodyText"/>
      </w:pPr>
      <w:r w:rsidRPr="00DD5B16">
        <w:t xml:space="preserve">The minutes from </w:t>
      </w:r>
      <w:r w:rsidR="00900F71">
        <w:t>December</w:t>
      </w:r>
      <w:r>
        <w:t xml:space="preserve"> 2</w:t>
      </w:r>
      <w:r w:rsidRPr="00DD5B16">
        <w:t>, 2021, DUR Board meeting were approved as presented.</w:t>
      </w:r>
    </w:p>
    <w:p w14:paraId="0B1C447A" w14:textId="77777777" w:rsidR="00FB4278" w:rsidRPr="00DD5B16" w:rsidRDefault="00FB4278" w:rsidP="00FB4278">
      <w:pPr>
        <w:pStyle w:val="BodyText"/>
        <w:rPr>
          <w:sz w:val="23"/>
        </w:rPr>
      </w:pPr>
    </w:p>
    <w:p w14:paraId="567BBEB5" w14:textId="77777777" w:rsidR="00FB4278" w:rsidRPr="000B346D" w:rsidRDefault="00FB4278" w:rsidP="00FB4278">
      <w:pPr>
        <w:pStyle w:val="Heading1"/>
        <w:ind w:left="0"/>
      </w:pPr>
      <w:r w:rsidRPr="000B346D">
        <w:t>Office of Pharmacy Services</w:t>
      </w:r>
    </w:p>
    <w:p w14:paraId="644FFD0B" w14:textId="77777777" w:rsidR="00FB4278" w:rsidRPr="000B346D" w:rsidRDefault="00FB4278" w:rsidP="00FB4278">
      <w:pPr>
        <w:pStyle w:val="BodyText"/>
      </w:pPr>
    </w:p>
    <w:p w14:paraId="4A8D5F97" w14:textId="318AC170" w:rsidR="00581929" w:rsidRDefault="00581929" w:rsidP="00581929">
      <w:pPr>
        <w:pStyle w:val="BodyText"/>
      </w:pPr>
      <w:r>
        <w:t>Gov</w:t>
      </w:r>
      <w:r w:rsidR="007457F4">
        <w:t>ernor</w:t>
      </w:r>
      <w:r>
        <w:t xml:space="preserve"> Hogan ended the Public Health Emergency in </w:t>
      </w:r>
      <w:r w:rsidR="007457F4">
        <w:t xml:space="preserve">Maryland </w:t>
      </w:r>
      <w:r>
        <w:t>last June and because of this measure, the Office of Pharmacy Services</w:t>
      </w:r>
      <w:r w:rsidR="007457F4">
        <w:t xml:space="preserve"> (</w:t>
      </w:r>
      <w:r>
        <w:t>OPS</w:t>
      </w:r>
      <w:r w:rsidR="007457F4">
        <w:t>)</w:t>
      </w:r>
      <w:r>
        <w:t xml:space="preserve">, rescinded all COVID-19 measures that were put in place at the start of this pandemic. </w:t>
      </w:r>
      <w:r w:rsidR="007457F4">
        <w:t xml:space="preserve">Attendees were </w:t>
      </w:r>
      <w:r>
        <w:t>encourage</w:t>
      </w:r>
      <w:r w:rsidR="007457F4">
        <w:t>d</w:t>
      </w:r>
      <w:r>
        <w:t xml:space="preserve"> to visit the Provider Advisories’ section of the Office of Pharmacy Services Medicaid Program’s website at https://mmcp.health.maryland.gov/pap/Pages/Provider-Advisories.aspx for additional details. </w:t>
      </w:r>
    </w:p>
    <w:p w14:paraId="05C309D7" w14:textId="77777777" w:rsidR="00581929" w:rsidRDefault="00581929" w:rsidP="00581929">
      <w:pPr>
        <w:pStyle w:val="BodyText"/>
      </w:pPr>
    </w:p>
    <w:p w14:paraId="03AE2E53" w14:textId="7A4263BB" w:rsidR="00581929" w:rsidRDefault="00581929" w:rsidP="00581929">
      <w:pPr>
        <w:pStyle w:val="BodyText"/>
      </w:pPr>
      <w:r>
        <w:t xml:space="preserve">Dr. Devi Patel was welcomed as the new Corrective Managed Care/Lock-In Program Pharmacist Lead. </w:t>
      </w:r>
      <w:r w:rsidR="000A1B5D">
        <w:t>N</w:t>
      </w:r>
      <w:r w:rsidR="007457F4">
        <w:t xml:space="preserve">ew Drug Utilization Board appointees, </w:t>
      </w:r>
      <w:r>
        <w:t xml:space="preserve">Dr. Britt Gayle, Primary Care, HIV, University of Maryland Medical System, Dr. Jessica Merrey, Ambulatory Care, Chronic Disease State </w:t>
      </w:r>
      <w:r>
        <w:lastRenderedPageBreak/>
        <w:t>Management, Geriatrics, John Hopkins, and Dr. Mandi Poplawski, Sr. Director, Managed Care, Medicaid and Medicare, CareFirst BCBS Health Plan of Maryland</w:t>
      </w:r>
      <w:r w:rsidR="000A1B5D">
        <w:t>, were also welcomed</w:t>
      </w:r>
      <w:r w:rsidR="007457F4">
        <w:t>.</w:t>
      </w:r>
      <w:r>
        <w:t xml:space="preserve"> </w:t>
      </w:r>
    </w:p>
    <w:p w14:paraId="247F6292" w14:textId="77777777" w:rsidR="00581929" w:rsidRDefault="00581929" w:rsidP="00581929">
      <w:pPr>
        <w:pStyle w:val="BodyText"/>
      </w:pPr>
    </w:p>
    <w:p w14:paraId="4C33D189" w14:textId="7056FC77" w:rsidR="00581929" w:rsidRDefault="00D72296" w:rsidP="00581929">
      <w:pPr>
        <w:pStyle w:val="BodyText"/>
      </w:pPr>
      <w:r>
        <w:t>S</w:t>
      </w:r>
      <w:r w:rsidR="00581929">
        <w:t>ince the implementation of the Unified Corrective Managed Care lock-in Program, the Department is actively monitoring the questionable usage of control substances by enrollees under the State plan</w:t>
      </w:r>
      <w:r w:rsidR="007457F4">
        <w:t>. This p</w:t>
      </w:r>
      <w:r w:rsidR="00581929">
        <w:t>rogram is working as anticipated and facilitating to improve appropriate practices. As of Feb</w:t>
      </w:r>
      <w:r w:rsidR="007457F4">
        <w:t xml:space="preserve">ruary 7, 2022, </w:t>
      </w:r>
      <w:r w:rsidR="00581929">
        <w:t>283 participants are locked in with 253 providers</w:t>
      </w:r>
      <w:r w:rsidR="007457F4">
        <w:t>,</w:t>
      </w:r>
      <w:r w:rsidR="00581929">
        <w:t xml:space="preserve"> of which 12 participants are in the Fee-for-Service (FFS) program. This represents a reduction of </w:t>
      </w:r>
      <w:r w:rsidR="007457F4">
        <w:t xml:space="preserve">a </w:t>
      </w:r>
      <w:r w:rsidR="00581929">
        <w:t>little over 20% (71 participants) as compared to the number reported at the Dec</w:t>
      </w:r>
      <w:r w:rsidR="007457F4">
        <w:t xml:space="preserve">ember </w:t>
      </w:r>
      <w:r w:rsidR="00581929">
        <w:t xml:space="preserve">2021 DUR Board meeting. </w:t>
      </w:r>
      <w:r w:rsidR="007457F4">
        <w:t>T</w:t>
      </w:r>
      <w:r w:rsidR="00581929">
        <w:t xml:space="preserve">he Department’s goal always has been the well-being of </w:t>
      </w:r>
      <w:r w:rsidR="007457F4">
        <w:t xml:space="preserve">its </w:t>
      </w:r>
      <w:r w:rsidR="00581929">
        <w:t xml:space="preserve">members and to provide utmost cost-effective care to all the participants in timely manner. </w:t>
      </w:r>
    </w:p>
    <w:p w14:paraId="5EACAE8D" w14:textId="77777777" w:rsidR="00D72296" w:rsidRDefault="00D72296" w:rsidP="00581929">
      <w:pPr>
        <w:pStyle w:val="BodyText"/>
      </w:pPr>
    </w:p>
    <w:p w14:paraId="7AFA5520" w14:textId="0D3356A4" w:rsidR="00581929" w:rsidRDefault="00D72296" w:rsidP="00581929">
      <w:pPr>
        <w:pStyle w:val="BodyText"/>
      </w:pPr>
      <w:r>
        <w:t>E</w:t>
      </w:r>
      <w:r w:rsidR="00581929">
        <w:t>ffective Oct</w:t>
      </w:r>
      <w:r>
        <w:t xml:space="preserve">ober </w:t>
      </w:r>
      <w:r w:rsidR="00581929">
        <w:t>18</w:t>
      </w:r>
      <w:r>
        <w:t xml:space="preserve">, 2021, </w:t>
      </w:r>
      <w:r w:rsidR="00581929">
        <w:t>the OPS implemented prospective edits to address concurrent use of opioids and Medication Assisted Treatment (MAT) drugs.</w:t>
      </w:r>
    </w:p>
    <w:p w14:paraId="70A09D17" w14:textId="62ABFC1F" w:rsidR="00581929" w:rsidRDefault="00581929" w:rsidP="00D72296">
      <w:pPr>
        <w:pStyle w:val="BodyText"/>
        <w:numPr>
          <w:ilvl w:val="0"/>
          <w:numId w:val="7"/>
        </w:numPr>
      </w:pPr>
      <w:r>
        <w:t xml:space="preserve">If a patient has MAT drug on file (within 45 days) and an </w:t>
      </w:r>
      <w:r w:rsidR="000620DA">
        <w:t>o</w:t>
      </w:r>
      <w:r>
        <w:t xml:space="preserve">pioid claim is adjudicated, the </w:t>
      </w:r>
      <w:r w:rsidR="000A1B5D">
        <w:t>Point-of-Sale</w:t>
      </w:r>
      <w:r>
        <w:t xml:space="preserve"> Claims Processing system look</w:t>
      </w:r>
      <w:r w:rsidR="000620DA">
        <w:t>s</w:t>
      </w:r>
      <w:r>
        <w:t xml:space="preserve"> back for 30 days and if no opioid on file, then allow</w:t>
      </w:r>
      <w:r w:rsidR="000620DA">
        <w:t>s</w:t>
      </w:r>
      <w:r>
        <w:t xml:space="preserve"> up to 7-day supply. Regardless of the day's supply of the incoming claim for opioids, if there is the utilization of opioids within the last 30 days, the incoming opioid claim will deny and require Prior Authorization.</w:t>
      </w:r>
    </w:p>
    <w:p w14:paraId="5CB76DEB" w14:textId="293B6870" w:rsidR="00581929" w:rsidRDefault="00581929" w:rsidP="00D72296">
      <w:pPr>
        <w:pStyle w:val="BodyText"/>
        <w:numPr>
          <w:ilvl w:val="0"/>
          <w:numId w:val="7"/>
        </w:numPr>
      </w:pPr>
      <w:r>
        <w:t xml:space="preserve">Patients requiring an </w:t>
      </w:r>
      <w:r w:rsidR="000620DA">
        <w:t>o</w:t>
      </w:r>
      <w:r>
        <w:t>pioid medication for greater than 7 days while undergoing MAT drug will require Prior Authorization.</w:t>
      </w:r>
    </w:p>
    <w:p w14:paraId="0400C63D" w14:textId="783F3A8F" w:rsidR="00581929" w:rsidRDefault="00581929" w:rsidP="00D72296">
      <w:pPr>
        <w:pStyle w:val="BodyText"/>
        <w:numPr>
          <w:ilvl w:val="0"/>
          <w:numId w:val="7"/>
        </w:numPr>
      </w:pPr>
      <w:r>
        <w:t>Patients will have access to MAT drugs regardless of history or current therapy with opioid medication.</w:t>
      </w:r>
    </w:p>
    <w:p w14:paraId="2CC1BAEC" w14:textId="6498CD1C" w:rsidR="00581929" w:rsidRDefault="00581929" w:rsidP="00581929">
      <w:pPr>
        <w:pStyle w:val="BodyText"/>
      </w:pPr>
      <w:r>
        <w:t xml:space="preserve">These day supply limits </w:t>
      </w:r>
      <w:r w:rsidR="007457F4">
        <w:t xml:space="preserve">do </w:t>
      </w:r>
      <w:r>
        <w:t>not apply to Medicaid participants who are currently receiving an opioid, as well as any participant who has a diagnosis of Hospice Care, Palliative Care, Cancer or Sickle Cell Disease.</w:t>
      </w:r>
    </w:p>
    <w:p w14:paraId="0978CFB8" w14:textId="77777777" w:rsidR="00D72296" w:rsidRDefault="00D72296" w:rsidP="00581929">
      <w:pPr>
        <w:pStyle w:val="BodyText"/>
      </w:pPr>
    </w:p>
    <w:p w14:paraId="1F2CC262" w14:textId="50A02F08" w:rsidR="00581929" w:rsidRDefault="000620DA" w:rsidP="00581929">
      <w:pPr>
        <w:pStyle w:val="BodyText"/>
      </w:pPr>
      <w:r>
        <w:t xml:space="preserve">The </w:t>
      </w:r>
      <w:r w:rsidR="008705FD">
        <w:t>Centers for Medicare and Medicaid Services (</w:t>
      </w:r>
      <w:r>
        <w:t>CMS</w:t>
      </w:r>
      <w:r w:rsidR="008705FD">
        <w:t>)</w:t>
      </w:r>
      <w:r>
        <w:t xml:space="preserve"> presented </w:t>
      </w:r>
      <w:r w:rsidR="00581929">
        <w:t>at the recent American Drug Utilization Review Society</w:t>
      </w:r>
      <w:r>
        <w:t xml:space="preserve"> meeting</w:t>
      </w:r>
      <w:r w:rsidR="00581929">
        <w:t xml:space="preserve"> where all the </w:t>
      </w:r>
      <w:r>
        <w:t>s</w:t>
      </w:r>
      <w:r w:rsidR="00581929">
        <w:t xml:space="preserve">tate delegates meet and discuss opportunities, challenges, new and upcoming clinical and programmatic developments in Medicaid arena and </w:t>
      </w:r>
      <w:r>
        <w:t xml:space="preserve">the </w:t>
      </w:r>
      <w:r w:rsidR="00581929">
        <w:t>future of the Medicaid Program</w:t>
      </w:r>
      <w:r>
        <w:t>. T</w:t>
      </w:r>
      <w:r w:rsidR="00581929">
        <w:t>here are several new initiatives being undertaken by CMS, especially around Sect</w:t>
      </w:r>
      <w:r w:rsidR="009739D9">
        <w:t>i</w:t>
      </w:r>
      <w:r w:rsidR="0069308E">
        <w:t>ons</w:t>
      </w:r>
      <w:r w:rsidR="00581929">
        <w:t xml:space="preserve"> 5041 and 5042 of the SUPPORT ACT related to PDMP implementations, data sharing and data reporting. </w:t>
      </w:r>
      <w:r>
        <w:t>F</w:t>
      </w:r>
      <w:r w:rsidR="00581929">
        <w:t>urther updates on the State of MD Medicaid DUR Program</w:t>
      </w:r>
      <w:r>
        <w:t xml:space="preserve"> will be forthcoming</w:t>
      </w:r>
      <w:r w:rsidR="00581929">
        <w:t>.</w:t>
      </w:r>
    </w:p>
    <w:p w14:paraId="376D0B3A" w14:textId="77777777" w:rsidR="00D72296" w:rsidRDefault="00581929" w:rsidP="00581929">
      <w:pPr>
        <w:pStyle w:val="BodyText"/>
      </w:pPr>
      <w:r>
        <w:t xml:space="preserve">             </w:t>
      </w:r>
    </w:p>
    <w:p w14:paraId="0D53CCC7" w14:textId="39A955D2" w:rsidR="00FB4278" w:rsidRDefault="00D72296" w:rsidP="00581929">
      <w:pPr>
        <w:pStyle w:val="BodyText"/>
      </w:pPr>
      <w:r>
        <w:t>T</w:t>
      </w:r>
      <w:r w:rsidR="00581929">
        <w:t xml:space="preserve">he OPS provides live continuing medical education (CME) to interested prescribers and continuing education (CE) to interested pharmacists every year at no cost.  </w:t>
      </w:r>
      <w:r>
        <w:t xml:space="preserve">The next </w:t>
      </w:r>
      <w:r w:rsidR="001C6F2B">
        <w:t>event</w:t>
      </w:r>
      <w:r>
        <w:t xml:space="preserve"> will </w:t>
      </w:r>
      <w:r w:rsidR="00581929">
        <w:t xml:space="preserve">be </w:t>
      </w:r>
      <w:r>
        <w:t xml:space="preserve">a </w:t>
      </w:r>
      <w:r w:rsidR="00581929">
        <w:t xml:space="preserve">4-hour </w:t>
      </w:r>
      <w:r>
        <w:t>l</w:t>
      </w:r>
      <w:r w:rsidR="00581929">
        <w:t xml:space="preserve">ive CME/CE program on April 30th. </w:t>
      </w:r>
      <w:r>
        <w:t>A</w:t>
      </w:r>
      <w:r w:rsidR="00581929">
        <w:t>dditional details will be disseminated</w:t>
      </w:r>
      <w:r>
        <w:t xml:space="preserve"> soon</w:t>
      </w:r>
      <w:r w:rsidR="00581929">
        <w:t>.</w:t>
      </w:r>
    </w:p>
    <w:p w14:paraId="31D59EAF" w14:textId="77777777" w:rsidR="00FB4278" w:rsidRPr="000B346D" w:rsidRDefault="00FB4278" w:rsidP="00FB4278">
      <w:pPr>
        <w:pStyle w:val="BodyText"/>
      </w:pPr>
    </w:p>
    <w:p w14:paraId="6B3578F6" w14:textId="77777777" w:rsidR="00FB4278" w:rsidRPr="000B346D" w:rsidRDefault="00FB4278" w:rsidP="00FB4278">
      <w:pPr>
        <w:pStyle w:val="Heading1"/>
        <w:ind w:left="0"/>
      </w:pPr>
      <w:r w:rsidRPr="000B346D">
        <w:t>Conduent State Healthcare, LLC</w:t>
      </w:r>
    </w:p>
    <w:p w14:paraId="7D6E69F4" w14:textId="77777777" w:rsidR="00FB4278" w:rsidRPr="000B346D" w:rsidRDefault="00FB4278" w:rsidP="00FB4278">
      <w:pPr>
        <w:pStyle w:val="BodyText"/>
        <w:rPr>
          <w:b/>
        </w:rPr>
      </w:pPr>
    </w:p>
    <w:p w14:paraId="0FE3A7C2" w14:textId="5C525EC9" w:rsidR="00FB4278" w:rsidRPr="000B346D" w:rsidRDefault="00FB4278" w:rsidP="00FB4278">
      <w:pPr>
        <w:pStyle w:val="BodyText"/>
      </w:pPr>
      <w:r w:rsidRPr="000B346D">
        <w:t xml:space="preserve">Conduent presented a summary of therapeutic duplication alerts for the use of benzodiazepine and clonazepam, a summary of Preferred Drug List (PDL) prior authorization requests, and a summary of prospective drug utilization review (ProDUR) edits for the </w:t>
      </w:r>
      <w:r w:rsidR="00900F71">
        <w:t>fourth</w:t>
      </w:r>
      <w:r w:rsidRPr="000B346D">
        <w:t xml:space="preserve"> quarter of 2021.</w:t>
      </w:r>
    </w:p>
    <w:p w14:paraId="2BA78988" w14:textId="77777777" w:rsidR="00FB4278" w:rsidRPr="000B346D" w:rsidRDefault="00FB4278" w:rsidP="00FB4278">
      <w:pPr>
        <w:pStyle w:val="BodyText"/>
      </w:pPr>
    </w:p>
    <w:p w14:paraId="5553E7E5" w14:textId="77777777" w:rsidR="00FB4278" w:rsidRPr="000B346D" w:rsidRDefault="00FB4278" w:rsidP="00FB4278">
      <w:pPr>
        <w:rPr>
          <w:i/>
          <w:sz w:val="24"/>
          <w:szCs w:val="24"/>
        </w:rPr>
      </w:pPr>
      <w:r w:rsidRPr="000B346D">
        <w:rPr>
          <w:i/>
          <w:sz w:val="24"/>
          <w:szCs w:val="24"/>
        </w:rPr>
        <w:t>Summary of Therapeutic Duplication Alerts</w:t>
      </w:r>
    </w:p>
    <w:p w14:paraId="0EF40C98" w14:textId="77777777" w:rsidR="00FB4278" w:rsidRPr="000B346D" w:rsidRDefault="00FB4278" w:rsidP="00FB4278">
      <w:pPr>
        <w:pStyle w:val="BodyText"/>
        <w:rPr>
          <w:i/>
        </w:rPr>
      </w:pPr>
    </w:p>
    <w:p w14:paraId="4393D2E0" w14:textId="2C39218C" w:rsidR="00FB4278" w:rsidRPr="000B346D" w:rsidRDefault="00FB4278" w:rsidP="00FB4278">
      <w:pPr>
        <w:pStyle w:val="BodyText"/>
      </w:pPr>
      <w:r w:rsidRPr="000B346D">
        <w:t>Regarding therapeutic duplication of benzodiazepines and clonazepam, Conduent reported 1</w:t>
      </w:r>
      <w:r>
        <w:t>3,</w:t>
      </w:r>
      <w:r w:rsidR="00063590">
        <w:t>866</w:t>
      </w:r>
      <w:r w:rsidRPr="000B346D">
        <w:t xml:space="preserve"> alerts</w:t>
      </w:r>
      <w:r w:rsidR="00E64C9E">
        <w:t xml:space="preserve"> for 1,197 participants</w:t>
      </w:r>
      <w:r w:rsidRPr="000B346D">
        <w:t>, for which 8</w:t>
      </w:r>
      <w:r w:rsidR="00063590">
        <w:t>0</w:t>
      </w:r>
      <w:r w:rsidRPr="000B346D">
        <w:t>% were overridden at the point of sale by the pharmacy provider</w:t>
      </w:r>
      <w:r>
        <w:t>s</w:t>
      </w:r>
      <w:r w:rsidRPr="000B346D">
        <w:t xml:space="preserve"> during the </w:t>
      </w:r>
      <w:r w:rsidR="00900F71">
        <w:t>fourth</w:t>
      </w:r>
      <w:r w:rsidRPr="000B346D">
        <w:t xml:space="preserve"> quarter of 2021, which is </w:t>
      </w:r>
      <w:r w:rsidR="00063590">
        <w:t>lower than</w:t>
      </w:r>
      <w:r w:rsidRPr="000B346D">
        <w:t xml:space="preserve"> previous quarters of rates between 85-90%.</w:t>
      </w:r>
    </w:p>
    <w:p w14:paraId="190DA2EF" w14:textId="77777777" w:rsidR="00FB4278" w:rsidRPr="000B346D" w:rsidRDefault="00FB4278" w:rsidP="00FB4278">
      <w:pPr>
        <w:pStyle w:val="BodyText"/>
      </w:pPr>
    </w:p>
    <w:p w14:paraId="3B307035" w14:textId="77777777" w:rsidR="00FB4278" w:rsidRPr="00DD5B16" w:rsidRDefault="00FB4278" w:rsidP="00FB4278">
      <w:pPr>
        <w:rPr>
          <w:i/>
          <w:sz w:val="24"/>
        </w:rPr>
      </w:pPr>
      <w:r w:rsidRPr="00DD5B16">
        <w:rPr>
          <w:i/>
          <w:sz w:val="24"/>
        </w:rPr>
        <w:t>Summary of PDL Prior Authorization Requests</w:t>
      </w:r>
    </w:p>
    <w:p w14:paraId="4C4D82BC" w14:textId="77777777" w:rsidR="00FB4278" w:rsidRPr="00DD5B16" w:rsidRDefault="00FB4278" w:rsidP="00FB4278">
      <w:pPr>
        <w:pStyle w:val="BodyText"/>
        <w:rPr>
          <w:i/>
        </w:rPr>
      </w:pPr>
    </w:p>
    <w:p w14:paraId="549D4C33" w14:textId="064090D7" w:rsidR="00FB4278" w:rsidRPr="00DD5B16" w:rsidRDefault="00FB4278" w:rsidP="00FB4278">
      <w:pPr>
        <w:pStyle w:val="BodyText"/>
      </w:pPr>
      <w:r>
        <w:t>For</w:t>
      </w:r>
      <w:r w:rsidRPr="00DD5B16">
        <w:t xml:space="preserve"> the </w:t>
      </w:r>
      <w:r w:rsidR="00900F71">
        <w:t>fourth</w:t>
      </w:r>
      <w:r>
        <w:t xml:space="preserve"> </w:t>
      </w:r>
      <w:r w:rsidRPr="00DD5B16">
        <w:t>quarter</w:t>
      </w:r>
      <w:r>
        <w:t xml:space="preserve"> of 2021</w:t>
      </w:r>
      <w:r w:rsidRPr="00DD5B16">
        <w:t xml:space="preserve">, </w:t>
      </w:r>
      <w:r w:rsidR="00E64C9E">
        <w:t xml:space="preserve">over 5,000 </w:t>
      </w:r>
      <w:r w:rsidRPr="00DD5B16">
        <w:t>new PDL prior authorization (PA) approvals were authorized. The top ten therapeutic categories accounted for</w:t>
      </w:r>
      <w:r w:rsidR="00E64C9E">
        <w:t xml:space="preserve"> 87%</w:t>
      </w:r>
      <w:r w:rsidRPr="00DD5B16">
        <w:t xml:space="preserve"> of the new PDL PAs. </w:t>
      </w:r>
      <w:r w:rsidRPr="00E64C9E">
        <w:t>Stimulants and related agents</w:t>
      </w:r>
      <w:r>
        <w:t xml:space="preserve"> represented the </w:t>
      </w:r>
      <w:r w:rsidRPr="00DD5B16">
        <w:t>highest number of requests this quarter. The number of request</w:t>
      </w:r>
      <w:r>
        <w:t xml:space="preserve">s was an increase compared to the second </w:t>
      </w:r>
      <w:r w:rsidRPr="00DD5B16">
        <w:t>quarter of 202</w:t>
      </w:r>
      <w:r>
        <w:t>1</w:t>
      </w:r>
      <w:r w:rsidRPr="00DD5B16">
        <w:t xml:space="preserve">. A full listing of all PDL </w:t>
      </w:r>
      <w:r w:rsidR="00E64C9E">
        <w:t xml:space="preserve">prior authorization </w:t>
      </w:r>
      <w:r w:rsidRPr="00DD5B16">
        <w:t xml:space="preserve">requests for the </w:t>
      </w:r>
      <w:r w:rsidR="00900F71">
        <w:t>fourth</w:t>
      </w:r>
      <w:r>
        <w:t xml:space="preserve"> </w:t>
      </w:r>
      <w:r w:rsidRPr="00DD5B16">
        <w:t>quarter of 202</w:t>
      </w:r>
      <w:r>
        <w:t>1</w:t>
      </w:r>
      <w:r w:rsidRPr="00DD5B16">
        <w:t xml:space="preserve"> was presented to the Board.</w:t>
      </w:r>
    </w:p>
    <w:p w14:paraId="31811B91" w14:textId="77777777" w:rsidR="00FB4278" w:rsidRPr="00DD5B16" w:rsidRDefault="00FB4278" w:rsidP="00FB4278">
      <w:pPr>
        <w:pStyle w:val="BodyText"/>
      </w:pPr>
    </w:p>
    <w:p w14:paraId="410B57C0" w14:textId="77777777" w:rsidR="00FB4278" w:rsidRPr="00DD5B16" w:rsidRDefault="00FB4278" w:rsidP="00FB4278">
      <w:pPr>
        <w:rPr>
          <w:i/>
          <w:sz w:val="24"/>
        </w:rPr>
      </w:pPr>
      <w:r w:rsidRPr="00DD5B16">
        <w:rPr>
          <w:i/>
          <w:sz w:val="24"/>
        </w:rPr>
        <w:t>Summary of Prospective Drug Utilization (ProDUR) Edits</w:t>
      </w:r>
    </w:p>
    <w:p w14:paraId="6B3244ED" w14:textId="77777777" w:rsidR="00FB4278" w:rsidRPr="00DD5B16" w:rsidRDefault="00FB4278" w:rsidP="00FB4278">
      <w:pPr>
        <w:pStyle w:val="BodyText"/>
        <w:rPr>
          <w:i/>
          <w:sz w:val="23"/>
        </w:rPr>
      </w:pPr>
    </w:p>
    <w:p w14:paraId="028B32AF" w14:textId="58222D9E" w:rsidR="00FB4278" w:rsidRPr="00DD5B16" w:rsidRDefault="00FB4278" w:rsidP="00FB4278">
      <w:pPr>
        <w:pStyle w:val="BodyText"/>
      </w:pPr>
      <w:r w:rsidRPr="00DD5B16">
        <w:t xml:space="preserve">Claims information was presented for the </w:t>
      </w:r>
      <w:r w:rsidR="00900F71">
        <w:t>fourth</w:t>
      </w:r>
      <w:r>
        <w:t xml:space="preserve"> </w:t>
      </w:r>
      <w:r w:rsidRPr="00DD5B16">
        <w:t>quarter of 202</w:t>
      </w:r>
      <w:r>
        <w:t>1</w:t>
      </w:r>
      <w:r w:rsidRPr="00DD5B16">
        <w:t>. Regarding therapeutic duplications, antidepressants represented the highest of all alerts (</w:t>
      </w:r>
      <w:r w:rsidR="00063590">
        <w:t>49</w:t>
      </w:r>
      <w:r w:rsidRPr="00DD5B16">
        <w:t>%). For early refills, antidepressants (</w:t>
      </w:r>
      <w:r w:rsidR="00063590">
        <w:t>60</w:t>
      </w:r>
      <w:r w:rsidRPr="00DD5B16">
        <w:t>%) continued at the top of all alerts. Most drug-drug interaction alerts (</w:t>
      </w:r>
      <w:r w:rsidR="00063590">
        <w:rPr>
          <w:color w:val="000000" w:themeColor="text1"/>
        </w:rPr>
        <w:t>59</w:t>
      </w:r>
      <w:r w:rsidRPr="00DD5B16">
        <w:t xml:space="preserve">%) involved antidepressants. A summary by DUR conflict, intervention, and </w:t>
      </w:r>
      <w:r>
        <w:t xml:space="preserve">the </w:t>
      </w:r>
      <w:r w:rsidRPr="00DD5B16">
        <w:t xml:space="preserve">outcome was reported. Cost avoidance estimates were presented. The Call Center experienced </w:t>
      </w:r>
      <w:r>
        <w:t xml:space="preserve">a slight </w:t>
      </w:r>
      <w:r w:rsidR="00E64C9E">
        <w:t xml:space="preserve">decrease in faxes and increase in </w:t>
      </w:r>
      <w:r w:rsidRPr="00DD5B16">
        <w:t>call</w:t>
      </w:r>
      <w:r>
        <w:t xml:space="preserve"> volume</w:t>
      </w:r>
      <w:r w:rsidRPr="00DD5B16">
        <w:t xml:space="preserve"> </w:t>
      </w:r>
      <w:r>
        <w:t xml:space="preserve">compared to the previous </w:t>
      </w:r>
      <w:r w:rsidRPr="00DD5B16">
        <w:t xml:space="preserve">quarter. Abandoned calls </w:t>
      </w:r>
      <w:r>
        <w:t xml:space="preserve">were </w:t>
      </w:r>
      <w:r w:rsidRPr="00E64C9E">
        <w:t>under 1%</w:t>
      </w:r>
      <w:r>
        <w:t xml:space="preserve"> across all months. </w:t>
      </w:r>
    </w:p>
    <w:p w14:paraId="31241D58" w14:textId="77777777" w:rsidR="00FB4278" w:rsidRPr="00DD5B16" w:rsidRDefault="00FB4278" w:rsidP="00FB4278">
      <w:pPr>
        <w:pStyle w:val="BodyText"/>
        <w:rPr>
          <w:sz w:val="23"/>
        </w:rPr>
      </w:pPr>
    </w:p>
    <w:p w14:paraId="51869488" w14:textId="77777777" w:rsidR="00FB4278" w:rsidRPr="00DD5B16" w:rsidRDefault="00FB4278" w:rsidP="00FB4278">
      <w:pPr>
        <w:pStyle w:val="Heading1"/>
        <w:ind w:left="0"/>
      </w:pPr>
      <w:r>
        <w:t>Kepro</w:t>
      </w:r>
    </w:p>
    <w:p w14:paraId="32FD14E7" w14:textId="77777777" w:rsidR="00FB4278" w:rsidRPr="00DD5B16" w:rsidRDefault="00FB4278" w:rsidP="00FB4278">
      <w:pPr>
        <w:pStyle w:val="BodyText"/>
        <w:rPr>
          <w:b/>
          <w:sz w:val="23"/>
        </w:rPr>
      </w:pPr>
    </w:p>
    <w:p w14:paraId="3217A02F" w14:textId="05AB8587" w:rsidR="00FB4278" w:rsidRPr="00DD5B16" w:rsidRDefault="00FB4278" w:rsidP="00FB4278">
      <w:pPr>
        <w:pStyle w:val="BodyText"/>
      </w:pPr>
      <w:r>
        <w:t>Kepro</w:t>
      </w:r>
      <w:r w:rsidRPr="00DD5B16">
        <w:t xml:space="preserve"> presented a review of action items from the </w:t>
      </w:r>
      <w:r w:rsidR="00900F71">
        <w:t>December</w:t>
      </w:r>
      <w:r>
        <w:t xml:space="preserve"> </w:t>
      </w:r>
      <w:r w:rsidRPr="00DD5B16">
        <w:t>202</w:t>
      </w:r>
      <w:r>
        <w:t>1</w:t>
      </w:r>
      <w:r w:rsidRPr="00DD5B16">
        <w:t xml:space="preserve"> meeting, an overview of active interventions, a retrospective DUR (RDUR) intervention summary for the </w:t>
      </w:r>
      <w:r w:rsidR="00900F71">
        <w:t>fourth</w:t>
      </w:r>
      <w:r>
        <w:t xml:space="preserve"> </w:t>
      </w:r>
      <w:r w:rsidRPr="00DD5B16">
        <w:t>quarter of 202</w:t>
      </w:r>
      <w:r>
        <w:t>1</w:t>
      </w:r>
      <w:r w:rsidRPr="00DD5B16">
        <w:t>, and future RDUR interventions for the Maryland Medicaid FFS population.</w:t>
      </w:r>
    </w:p>
    <w:p w14:paraId="4F6902BD" w14:textId="77777777" w:rsidR="00FB4278" w:rsidRPr="00DD5B16" w:rsidRDefault="00FB4278" w:rsidP="00FB4278">
      <w:pPr>
        <w:pStyle w:val="BodyText"/>
      </w:pPr>
    </w:p>
    <w:p w14:paraId="0A9AFA6F" w14:textId="77777777" w:rsidR="00FB4278" w:rsidRPr="00DD5B16" w:rsidRDefault="00FB4278" w:rsidP="00FB4278">
      <w:pPr>
        <w:rPr>
          <w:i/>
          <w:sz w:val="24"/>
        </w:rPr>
      </w:pPr>
      <w:r w:rsidRPr="00DD5B16">
        <w:rPr>
          <w:i/>
          <w:sz w:val="24"/>
        </w:rPr>
        <w:t>Review of Action Items</w:t>
      </w:r>
    </w:p>
    <w:p w14:paraId="76862BC5" w14:textId="77777777" w:rsidR="00FB4278" w:rsidRPr="00DD5B16" w:rsidRDefault="00FB4278" w:rsidP="00FB4278">
      <w:pPr>
        <w:pStyle w:val="BodyText"/>
        <w:rPr>
          <w:i/>
          <w:sz w:val="23"/>
        </w:rPr>
      </w:pPr>
    </w:p>
    <w:p w14:paraId="144A0E4B" w14:textId="4CB1D8E6" w:rsidR="00FB4278" w:rsidRPr="00DD5B16" w:rsidRDefault="00FB4278" w:rsidP="00FB4278">
      <w:pPr>
        <w:pStyle w:val="BodyText"/>
      </w:pPr>
      <w:r w:rsidRPr="00DD5B16">
        <w:t xml:space="preserve">Outcomes of RDUR interventions for the </w:t>
      </w:r>
      <w:r w:rsidR="00900F71">
        <w:t>fourth</w:t>
      </w:r>
      <w:r>
        <w:t xml:space="preserve"> </w:t>
      </w:r>
      <w:r w:rsidRPr="00DD5B16">
        <w:t>quarter of 202</w:t>
      </w:r>
      <w:r>
        <w:t>1</w:t>
      </w:r>
      <w:r w:rsidRPr="00DD5B16">
        <w:t xml:space="preserve"> were presented</w:t>
      </w:r>
      <w:r w:rsidRPr="00DD5B16">
        <w:rPr>
          <w:b/>
        </w:rPr>
        <w:t xml:space="preserve">. </w:t>
      </w:r>
      <w:r w:rsidRPr="00DD5B16">
        <w:t>The intervention outcomes process is initiated during the profile review by a clinical pharmacist. Participants who are identified as having a therapeutic issue are flagged and educational intervention letters are sent to both prescribers and pharmacy providers. The identified participants are reassessed after a six-month suppression period to determine if there has been a change in prescribing behaviors for the identified therapeutic issue.</w:t>
      </w:r>
    </w:p>
    <w:p w14:paraId="7813121C" w14:textId="77777777" w:rsidR="00FB4278" w:rsidRPr="00DD5B16" w:rsidRDefault="00FB4278" w:rsidP="00FB4278">
      <w:pPr>
        <w:pStyle w:val="BodyText"/>
        <w:rPr>
          <w:sz w:val="23"/>
        </w:rPr>
      </w:pPr>
    </w:p>
    <w:p w14:paraId="3122A2F8" w14:textId="4ECC81C8" w:rsidR="00DF169F" w:rsidRPr="00DF169F" w:rsidRDefault="00DF169F" w:rsidP="00DF169F">
      <w:pPr>
        <w:pStyle w:val="BodyText"/>
      </w:pPr>
      <w:r>
        <w:t>T</w:t>
      </w:r>
      <w:r w:rsidR="00FB4278" w:rsidRPr="00DD5B16">
        <w:t>he intervention that identifies therapeutic duplication of sedative/hypnotic agents,</w:t>
      </w:r>
      <w:r w:rsidR="00FB4278">
        <w:t xml:space="preserve"> </w:t>
      </w:r>
      <w:r>
        <w:t>had a very successful quarter.</w:t>
      </w:r>
      <w:r w:rsidRPr="00DF169F">
        <w:rPr>
          <w:i/>
          <w:iCs/>
        </w:rPr>
        <w:t xml:space="preserve"> </w:t>
      </w:r>
      <w:r w:rsidRPr="00DF169F">
        <w:t xml:space="preserve">No recipients identified on initial profile review met criteria for duplicate therapy in the follow up period. This continues to be a successful intervention and is </w:t>
      </w:r>
      <w:r w:rsidRPr="00DF169F">
        <w:lastRenderedPageBreak/>
        <w:t xml:space="preserve">recommended to continue. </w:t>
      </w:r>
      <w:r>
        <w:t>The Board recommendation a</w:t>
      </w:r>
      <w:r w:rsidRPr="00DF169F">
        <w:t xml:space="preserve">t the December 2021 meeting </w:t>
      </w:r>
      <w:r>
        <w:t xml:space="preserve">to </w:t>
      </w:r>
      <w:r w:rsidRPr="00DF169F">
        <w:t xml:space="preserve">change </w:t>
      </w:r>
      <w:r>
        <w:t xml:space="preserve">the </w:t>
      </w:r>
      <w:r w:rsidRPr="00DF169F">
        <w:t>intervention frequency from monthly to quarterly</w:t>
      </w:r>
      <w:r>
        <w:t xml:space="preserve"> was implemented in January 2022. Outcomes </w:t>
      </w:r>
      <w:r w:rsidRPr="00DF169F">
        <w:t>will be reported at quarterly meetings as they become available</w:t>
      </w:r>
      <w:r>
        <w:t>.</w:t>
      </w:r>
    </w:p>
    <w:p w14:paraId="439148A9" w14:textId="77777777" w:rsidR="00FB4278" w:rsidRPr="00DF169F" w:rsidRDefault="00FB4278" w:rsidP="00FB4278">
      <w:pPr>
        <w:pStyle w:val="BodyText"/>
      </w:pPr>
    </w:p>
    <w:p w14:paraId="379D43C7" w14:textId="59405EE0" w:rsidR="00FB4278" w:rsidRPr="00DD5B16" w:rsidRDefault="00FB4278" w:rsidP="00FB4278">
      <w:pPr>
        <w:pStyle w:val="BodyText"/>
      </w:pPr>
      <w:r w:rsidRPr="00DD5B16">
        <w:t>For concurrent use of gabapentin and pregabalin, a</w:t>
      </w:r>
      <w:r>
        <w:t>n</w:t>
      </w:r>
      <w:r w:rsidRPr="00DD5B16">
        <w:t xml:space="preserve"> </w:t>
      </w:r>
      <w:r>
        <w:t>8</w:t>
      </w:r>
      <w:r w:rsidR="00DF169F">
        <w:t>2</w:t>
      </w:r>
      <w:r w:rsidRPr="00DD5B16">
        <w:t xml:space="preserve">% reduction in </w:t>
      </w:r>
      <w:r>
        <w:t>duplicate</w:t>
      </w:r>
      <w:r w:rsidRPr="00DD5B16">
        <w:t xml:space="preserve"> therapy was noted</w:t>
      </w:r>
      <w:r>
        <w:t xml:space="preserve">, which is </w:t>
      </w:r>
      <w:r w:rsidR="00F00473">
        <w:t>consistent with</w:t>
      </w:r>
      <w:r>
        <w:t xml:space="preserve"> previous quarters</w:t>
      </w:r>
      <w:r w:rsidRPr="00DD5B16">
        <w:t xml:space="preserve">. </w:t>
      </w:r>
      <w:r w:rsidR="00DF169F" w:rsidRPr="00DF169F">
        <w:t>A review of available responses from providers include</w:t>
      </w:r>
      <w:r w:rsidR="00DF169F">
        <w:t>d</w:t>
      </w:r>
      <w:r w:rsidR="00DF169F" w:rsidRPr="00DF169F">
        <w:t xml:space="preserve"> comments related to “benefits of therapy outweigh risks, symptoms reoccurred when one agent was discontinued, long term treatment with both agents</w:t>
      </w:r>
      <w:r w:rsidR="00F00473">
        <w:t>,</w:t>
      </w:r>
      <w:r w:rsidR="00DF169F" w:rsidRPr="00DF169F">
        <w:t xml:space="preserve"> and there is evidence to support concurrent use.”  </w:t>
      </w:r>
      <w:r w:rsidRPr="00DD5B16">
        <w:t xml:space="preserve">This is a strong and effective educational effort and is recommended </w:t>
      </w:r>
      <w:r>
        <w:t xml:space="preserve">for continuation </w:t>
      </w:r>
      <w:r w:rsidRPr="00DD5B16">
        <w:t>on a quarterly basis.</w:t>
      </w:r>
    </w:p>
    <w:p w14:paraId="273DEE9A" w14:textId="77777777" w:rsidR="00FB4278" w:rsidRDefault="00FB4278" w:rsidP="00FB4278">
      <w:pPr>
        <w:pStyle w:val="BodyText"/>
        <w:rPr>
          <w:sz w:val="23"/>
        </w:rPr>
      </w:pPr>
    </w:p>
    <w:p w14:paraId="0DF76476" w14:textId="0F266816" w:rsidR="00FB4278" w:rsidRPr="000C16FF" w:rsidRDefault="00FB4278" w:rsidP="00FB4278">
      <w:pPr>
        <w:pStyle w:val="BodyText"/>
        <w:rPr>
          <w:szCs w:val="28"/>
        </w:rPr>
      </w:pPr>
      <w:r w:rsidRPr="000C16FF">
        <w:rPr>
          <w:szCs w:val="28"/>
        </w:rPr>
        <w:t>The results of concurrent use of a</w:t>
      </w:r>
      <w:r w:rsidR="00DF169F" w:rsidRPr="00DF169F">
        <w:rPr>
          <w:szCs w:val="28"/>
        </w:rPr>
        <w:t>n opioid and med</w:t>
      </w:r>
      <w:r w:rsidR="00437E30">
        <w:rPr>
          <w:szCs w:val="28"/>
        </w:rPr>
        <w:t>ium-</w:t>
      </w:r>
      <w:r w:rsidR="00DF169F" w:rsidRPr="00DF169F">
        <w:rPr>
          <w:szCs w:val="28"/>
        </w:rPr>
        <w:t>high dose gabapentin</w:t>
      </w:r>
      <w:r w:rsidR="00DF169F">
        <w:rPr>
          <w:szCs w:val="28"/>
        </w:rPr>
        <w:t xml:space="preserve"> </w:t>
      </w:r>
      <w:r w:rsidRPr="000C16FF">
        <w:rPr>
          <w:szCs w:val="28"/>
        </w:rPr>
        <w:t>showed a 9</w:t>
      </w:r>
      <w:r w:rsidR="00DF169F">
        <w:rPr>
          <w:szCs w:val="28"/>
        </w:rPr>
        <w:t>0</w:t>
      </w:r>
      <w:r w:rsidRPr="000C16FF">
        <w:rPr>
          <w:szCs w:val="28"/>
        </w:rPr>
        <w:t xml:space="preserve">% </w:t>
      </w:r>
      <w:r w:rsidR="00DF169F" w:rsidRPr="00DF169F">
        <w:rPr>
          <w:szCs w:val="28"/>
        </w:rPr>
        <w:t>reduction</w:t>
      </w:r>
      <w:r w:rsidR="002C4B1C">
        <w:rPr>
          <w:szCs w:val="28"/>
        </w:rPr>
        <w:t xml:space="preserve">, a significant change since the last reported rate of </w:t>
      </w:r>
      <w:r w:rsidR="00437E30">
        <w:rPr>
          <w:szCs w:val="28"/>
        </w:rPr>
        <w:t>67</w:t>
      </w:r>
      <w:r w:rsidR="002C4B1C">
        <w:rPr>
          <w:szCs w:val="28"/>
        </w:rPr>
        <w:t xml:space="preserve">%. This was </w:t>
      </w:r>
      <w:r w:rsidR="00DF169F" w:rsidRPr="00DF169F">
        <w:rPr>
          <w:szCs w:val="28"/>
        </w:rPr>
        <w:t>reflected by discontinuation of opioid, lowered dose of gabapentin</w:t>
      </w:r>
      <w:r w:rsidR="00437E30">
        <w:rPr>
          <w:szCs w:val="28"/>
        </w:rPr>
        <w:t>,</w:t>
      </w:r>
      <w:r w:rsidR="00DF169F" w:rsidRPr="00DF169F">
        <w:rPr>
          <w:szCs w:val="28"/>
        </w:rPr>
        <w:t xml:space="preserve"> or discontinuation of gabapentin in the six months after the educational intervention letters were sent. It is recommended to continue this intervention quarterly.</w:t>
      </w:r>
    </w:p>
    <w:p w14:paraId="66D5C687" w14:textId="77777777" w:rsidR="00FB4278" w:rsidRPr="00DD5B16" w:rsidRDefault="00FB4278" w:rsidP="00FB4278">
      <w:pPr>
        <w:pStyle w:val="BodyText"/>
        <w:rPr>
          <w:sz w:val="23"/>
        </w:rPr>
      </w:pPr>
    </w:p>
    <w:p w14:paraId="322E03B5" w14:textId="77777777" w:rsidR="00FB4278" w:rsidRPr="00DD5B16" w:rsidRDefault="00FB4278" w:rsidP="00FB4278">
      <w:pPr>
        <w:rPr>
          <w:i/>
          <w:sz w:val="24"/>
        </w:rPr>
      </w:pPr>
      <w:r w:rsidRPr="00DD5B16">
        <w:rPr>
          <w:i/>
          <w:sz w:val="24"/>
        </w:rPr>
        <w:t>Summary of Active Interventions</w:t>
      </w:r>
    </w:p>
    <w:p w14:paraId="2A51085A" w14:textId="77777777" w:rsidR="00FB4278" w:rsidRPr="00DD5B16" w:rsidRDefault="00FB4278" w:rsidP="00FB4278">
      <w:pPr>
        <w:pStyle w:val="BodyText"/>
        <w:rPr>
          <w:i/>
        </w:rPr>
      </w:pPr>
    </w:p>
    <w:p w14:paraId="01BA371F" w14:textId="2F0C031B" w:rsidR="00FB4278" w:rsidRDefault="00FB4278" w:rsidP="00FB4278">
      <w:pPr>
        <w:pStyle w:val="BodyText"/>
      </w:pPr>
      <w:r w:rsidRPr="00DD5B16">
        <w:t xml:space="preserve">Active, ongoing interventions for the </w:t>
      </w:r>
      <w:r w:rsidR="00900F71">
        <w:t>fourth</w:t>
      </w:r>
      <w:r>
        <w:t xml:space="preserve"> </w:t>
      </w:r>
      <w:r w:rsidRPr="00DD5B16">
        <w:t>quarter of 202</w:t>
      </w:r>
      <w:r>
        <w:t>1</w:t>
      </w:r>
      <w:r w:rsidRPr="00DD5B16">
        <w:t xml:space="preserve"> include: 1) duplicate sedative use</w:t>
      </w:r>
      <w:r w:rsidR="00E9381D">
        <w:t xml:space="preserve"> (quarterly), </w:t>
      </w:r>
      <w:r w:rsidRPr="00DD5B16">
        <w:t>2) concurrent use of an opioid, benzodiazepine, and carisoprodol (</w:t>
      </w:r>
      <w:r>
        <w:t>bi-annual</w:t>
      </w:r>
      <w:r w:rsidRPr="00DD5B16">
        <w:t xml:space="preserve">), 3) concurrent use of gabapentin and pregabalin (quarterly), </w:t>
      </w:r>
      <w:r>
        <w:t xml:space="preserve">and </w:t>
      </w:r>
      <w:r w:rsidRPr="00DD5B16">
        <w:t>4) opioid and med-high dose gabapentin (quarterly). Intervention outcomes for all active interventions will continue to be shared at quarterly meetings as results become available.</w:t>
      </w:r>
    </w:p>
    <w:p w14:paraId="5FE14C3E" w14:textId="77777777" w:rsidR="00FB4278" w:rsidRDefault="00FB4278" w:rsidP="00FB4278">
      <w:pPr>
        <w:pStyle w:val="BodyText"/>
      </w:pPr>
    </w:p>
    <w:p w14:paraId="6136D844" w14:textId="28938BDA" w:rsidR="00FB4278" w:rsidRPr="00DD5B16" w:rsidRDefault="00FB4278" w:rsidP="00FB4278">
      <w:pPr>
        <w:pStyle w:val="BodyText"/>
      </w:pPr>
      <w:r>
        <w:t xml:space="preserve">Initiated in August, the six-month interventions for naloxone, concurrent </w:t>
      </w:r>
      <w:r w:rsidRPr="00E14167">
        <w:t xml:space="preserve">use of an opioid and benzodiazepine, and concurrent use of an opioid and antipsychotic </w:t>
      </w:r>
      <w:r>
        <w:t>will be complete in March with reporting at the June meeting. The CGRP Antagonist overutilization has had no profile alerts to date.</w:t>
      </w:r>
    </w:p>
    <w:p w14:paraId="10138F35" w14:textId="77777777" w:rsidR="00FB4278" w:rsidRPr="00DD5B16" w:rsidRDefault="00FB4278" w:rsidP="00FB4278">
      <w:pPr>
        <w:pStyle w:val="BodyText"/>
        <w:rPr>
          <w:sz w:val="23"/>
        </w:rPr>
      </w:pPr>
    </w:p>
    <w:p w14:paraId="5969AA50" w14:textId="77777777" w:rsidR="00FB4278" w:rsidRPr="00DD5B16" w:rsidRDefault="00FB4278" w:rsidP="00FB4278">
      <w:pPr>
        <w:rPr>
          <w:i/>
          <w:sz w:val="24"/>
        </w:rPr>
      </w:pPr>
      <w:r w:rsidRPr="00DD5B16">
        <w:rPr>
          <w:i/>
          <w:sz w:val="24"/>
        </w:rPr>
        <w:t>Retrospective DUR Quarterly Summary</w:t>
      </w:r>
    </w:p>
    <w:p w14:paraId="45B79288" w14:textId="77777777" w:rsidR="00FB4278" w:rsidRPr="00DD5B16" w:rsidRDefault="00FB4278" w:rsidP="00FB4278">
      <w:pPr>
        <w:pStyle w:val="BodyText"/>
        <w:rPr>
          <w:i/>
          <w:sz w:val="22"/>
        </w:rPr>
      </w:pPr>
    </w:p>
    <w:p w14:paraId="2E7D5295" w14:textId="7316F10C" w:rsidR="00FB4278" w:rsidRPr="00DD5B16" w:rsidRDefault="00FB4278" w:rsidP="00FB4278">
      <w:pPr>
        <w:pStyle w:val="BodyText"/>
      </w:pPr>
      <w:r w:rsidRPr="00DD5B16">
        <w:t xml:space="preserve">During the </w:t>
      </w:r>
      <w:r w:rsidR="00900F71">
        <w:t>fourth</w:t>
      </w:r>
      <w:r>
        <w:t xml:space="preserve"> quarter</w:t>
      </w:r>
      <w:r w:rsidRPr="00DD5B16">
        <w:t xml:space="preserve"> of 202</w:t>
      </w:r>
      <w:r>
        <w:t>1</w:t>
      </w:r>
      <w:r w:rsidRPr="00DD5B16">
        <w:t xml:space="preserve">, educational intervention letters were sent to prescribers and pharmacy providers for 1) duplicate sedative use, 2) opioid and medium-high dose gabapentin use, and </w:t>
      </w:r>
      <w:r>
        <w:t>3</w:t>
      </w:r>
      <w:r w:rsidRPr="00DD5B16">
        <w:t xml:space="preserve">) </w:t>
      </w:r>
      <w:r w:rsidR="00E9381D">
        <w:t xml:space="preserve">concurrent gabapentin and pregabalin use. </w:t>
      </w:r>
      <w:r w:rsidR="00E9381D" w:rsidRPr="00E9381D">
        <w:t xml:space="preserve">Response rates for prescribers remained similar this quarter, while response rates from pharmacies decreased slightly.  </w:t>
      </w:r>
    </w:p>
    <w:p w14:paraId="18D5FC8B" w14:textId="77777777" w:rsidR="00FB4278" w:rsidRPr="00DD5B16" w:rsidRDefault="00FB4278" w:rsidP="00FB4278">
      <w:pPr>
        <w:pStyle w:val="BodyText"/>
        <w:rPr>
          <w:sz w:val="23"/>
        </w:rPr>
      </w:pPr>
    </w:p>
    <w:p w14:paraId="64460EE0" w14:textId="30C2ECB5" w:rsidR="00FB4278" w:rsidRPr="00651678" w:rsidRDefault="00FB4278" w:rsidP="00FB4278">
      <w:pPr>
        <w:pStyle w:val="BodyText"/>
        <w:rPr>
          <w:i/>
          <w:iCs/>
        </w:rPr>
      </w:pPr>
      <w:r w:rsidRPr="002C2B98">
        <w:t xml:space="preserve">The intervention for duplicative sedative use saw a total of </w:t>
      </w:r>
      <w:r w:rsidR="00E9381D">
        <w:t>49</w:t>
      </w:r>
      <w:r w:rsidRPr="002C2B98">
        <w:t xml:space="preserve"> participants flagged for intervention and </w:t>
      </w:r>
      <w:r w:rsidR="00E9381D">
        <w:t>121</w:t>
      </w:r>
      <w:r w:rsidRPr="002C2B98">
        <w:t xml:space="preserve"> </w:t>
      </w:r>
      <w:r w:rsidRPr="00127EA1">
        <w:t>intervention letters mailed, with an average response rate of 1</w:t>
      </w:r>
      <w:r w:rsidR="00E9381D">
        <w:t>2</w:t>
      </w:r>
      <w:r w:rsidRPr="00127EA1">
        <w:t xml:space="preserve">% (prescribers) and </w:t>
      </w:r>
      <w:r w:rsidR="00E9381D">
        <w:t>18</w:t>
      </w:r>
      <w:r w:rsidRPr="00127EA1">
        <w:t xml:space="preserve">% (pharmacies). The top responses were “Prescriber </w:t>
      </w:r>
      <w:r w:rsidR="00BC740C">
        <w:t>will reassess and modify drug therapy</w:t>
      </w:r>
      <w:r w:rsidRPr="00127EA1">
        <w:t>” and “</w:t>
      </w:r>
      <w:r w:rsidR="00765719">
        <w:t>Spoke to prescriber; no change in therapy</w:t>
      </w:r>
      <w:r w:rsidRPr="00127EA1">
        <w:t>”.</w:t>
      </w:r>
      <w:r w:rsidRPr="00651678">
        <w:rPr>
          <w:i/>
          <w:iCs/>
        </w:rPr>
        <w:t xml:space="preserve">   </w:t>
      </w:r>
    </w:p>
    <w:p w14:paraId="6EB591EC" w14:textId="77777777" w:rsidR="00FB4278" w:rsidRPr="00651678" w:rsidRDefault="00FB4278" w:rsidP="00FB4278">
      <w:pPr>
        <w:pStyle w:val="BodyText"/>
        <w:rPr>
          <w:i/>
          <w:iCs/>
          <w:sz w:val="23"/>
        </w:rPr>
      </w:pPr>
    </w:p>
    <w:p w14:paraId="46ABEFD0" w14:textId="695CB6B0" w:rsidR="00FB4278" w:rsidRDefault="00FB4278" w:rsidP="00FB4278">
      <w:pPr>
        <w:pStyle w:val="BodyText"/>
        <w:rPr>
          <w:i/>
          <w:iCs/>
        </w:rPr>
      </w:pPr>
      <w:r w:rsidRPr="002C2B98">
        <w:t>For the intervention for concurrent use of opioid and med</w:t>
      </w:r>
      <w:r w:rsidR="00E9381D">
        <w:t>ium</w:t>
      </w:r>
      <w:r w:rsidRPr="002C2B98">
        <w:t xml:space="preserve">-high dose gabapentin, a total of </w:t>
      </w:r>
      <w:r w:rsidR="00E9381D">
        <w:t>206</w:t>
      </w:r>
      <w:r w:rsidRPr="002C2B98">
        <w:t xml:space="preserve"> participants were selected for intervention and </w:t>
      </w:r>
      <w:r w:rsidR="00E9381D">
        <w:t>697</w:t>
      </w:r>
      <w:r w:rsidRPr="002C2B98">
        <w:t xml:space="preserve"> letters were mailed, with a response </w:t>
      </w:r>
      <w:r w:rsidRPr="002C2B98">
        <w:lastRenderedPageBreak/>
        <w:t xml:space="preserve">rate of </w:t>
      </w:r>
      <w:r w:rsidR="00E9381D">
        <w:t>7</w:t>
      </w:r>
      <w:r w:rsidRPr="002C2B98">
        <w:t>% (</w:t>
      </w:r>
      <w:r w:rsidRPr="00127EA1">
        <w:t xml:space="preserve">prescribers) and </w:t>
      </w:r>
      <w:r w:rsidR="00E9381D">
        <w:t>19</w:t>
      </w:r>
      <w:r w:rsidRPr="00127EA1">
        <w:t>% (pharmacies). The top responses were “</w:t>
      </w:r>
      <w:r w:rsidR="00BC740C">
        <w:t>Benefits of the drug therapy outweigh the risk</w:t>
      </w:r>
      <w:r w:rsidRPr="00127EA1">
        <w:t>” and “</w:t>
      </w:r>
      <w:r w:rsidR="00765719">
        <w:t>Patient no longer uses pharmacy or sees prescriber</w:t>
      </w:r>
      <w:r w:rsidRPr="00127EA1">
        <w:t>”.</w:t>
      </w:r>
    </w:p>
    <w:p w14:paraId="4D1BD9C0" w14:textId="77777777" w:rsidR="00FB4278" w:rsidRPr="00651678" w:rsidRDefault="00FB4278" w:rsidP="00FB4278">
      <w:pPr>
        <w:pStyle w:val="BodyText"/>
        <w:rPr>
          <w:i/>
          <w:iCs/>
          <w:sz w:val="23"/>
        </w:rPr>
      </w:pPr>
    </w:p>
    <w:p w14:paraId="407D76C3" w14:textId="0585D768" w:rsidR="00FB4278" w:rsidRDefault="00FB4278" w:rsidP="00FB4278">
      <w:pPr>
        <w:pStyle w:val="BodyText"/>
        <w:rPr>
          <w:i/>
          <w:iCs/>
        </w:rPr>
      </w:pPr>
      <w:r w:rsidRPr="002C2B98">
        <w:t xml:space="preserve">A total of </w:t>
      </w:r>
      <w:r w:rsidR="00E9381D">
        <w:t>121</w:t>
      </w:r>
      <w:r w:rsidRPr="002C2B98">
        <w:t xml:space="preserve"> participants were flagged for </w:t>
      </w:r>
      <w:r w:rsidR="00E9381D">
        <w:t>concurrent gabapentin and pregabalin</w:t>
      </w:r>
      <w:r w:rsidRPr="002C2B98">
        <w:t xml:space="preserve">, and </w:t>
      </w:r>
      <w:r w:rsidR="00E9381D">
        <w:t>271</w:t>
      </w:r>
      <w:r w:rsidRPr="002C2B98">
        <w:t xml:space="preserve"> intervention letters were mailed, with a response rate of </w:t>
      </w:r>
      <w:r w:rsidR="00E9381D">
        <w:t>16</w:t>
      </w:r>
      <w:r w:rsidRPr="002C2B98">
        <w:t xml:space="preserve">% (prescribers) and </w:t>
      </w:r>
      <w:r w:rsidR="00E9381D">
        <w:t>21</w:t>
      </w:r>
      <w:r w:rsidRPr="002C2B98">
        <w:t xml:space="preserve">% (pharmacies). The top </w:t>
      </w:r>
      <w:r w:rsidRPr="00127EA1">
        <w:t>responses were “</w:t>
      </w:r>
      <w:r w:rsidR="00BC740C">
        <w:t>Prescriber discontinued medication(s)</w:t>
      </w:r>
      <w:r w:rsidRPr="00127EA1">
        <w:t>” and “</w:t>
      </w:r>
      <w:r w:rsidR="00765719">
        <w:t>Spoke to prescriber, expect modification in therapy</w:t>
      </w:r>
      <w:r w:rsidRPr="00127EA1">
        <w:t>”.</w:t>
      </w:r>
      <w:r w:rsidRPr="002C2B98">
        <w:rPr>
          <w:i/>
          <w:iCs/>
        </w:rPr>
        <w:t xml:space="preserve">  </w:t>
      </w:r>
    </w:p>
    <w:p w14:paraId="2841F2C7" w14:textId="5BFA3485" w:rsidR="00FB4278" w:rsidRDefault="00FB4278" w:rsidP="00FB4278">
      <w:pPr>
        <w:pStyle w:val="BodyText"/>
      </w:pPr>
    </w:p>
    <w:p w14:paraId="0EFE1228" w14:textId="1979E467" w:rsidR="00E9381D" w:rsidRPr="002C2B98" w:rsidRDefault="00E9381D" w:rsidP="00E9381D">
      <w:pPr>
        <w:pStyle w:val="BodyText"/>
        <w:rPr>
          <w:i/>
          <w:iCs/>
        </w:rPr>
      </w:pPr>
      <w:r w:rsidRPr="002C2B98">
        <w:t xml:space="preserve">For the intervention for </w:t>
      </w:r>
      <w:r>
        <w:t>naloxone</w:t>
      </w:r>
      <w:r w:rsidRPr="002C2B98">
        <w:t xml:space="preserve">, a total of </w:t>
      </w:r>
      <w:r>
        <w:t>24</w:t>
      </w:r>
      <w:r w:rsidRPr="002C2B98">
        <w:t xml:space="preserve"> participants were selected for intervention and </w:t>
      </w:r>
      <w:r>
        <w:t>46</w:t>
      </w:r>
      <w:r w:rsidRPr="002C2B98">
        <w:t xml:space="preserve"> letters were mailed, with a response rate of </w:t>
      </w:r>
      <w:r w:rsidR="0010127F">
        <w:t>4</w:t>
      </w:r>
      <w:r w:rsidRPr="002C2B98">
        <w:t xml:space="preserve">% (prescribers) and </w:t>
      </w:r>
      <w:r>
        <w:t>1</w:t>
      </w:r>
      <w:r w:rsidR="0010127F">
        <w:t>8</w:t>
      </w:r>
      <w:r w:rsidRPr="002C2B98">
        <w:t xml:space="preserve">% (pharmacies). The </w:t>
      </w:r>
      <w:r w:rsidRPr="00127EA1">
        <w:t>top response</w:t>
      </w:r>
      <w:r w:rsidR="00765719">
        <w:t>s were</w:t>
      </w:r>
      <w:r w:rsidRPr="00127EA1">
        <w:t xml:space="preserve"> “</w:t>
      </w:r>
      <w:r w:rsidR="00BC740C">
        <w:t>Benefits of the drug therapy outweigh the risk</w:t>
      </w:r>
      <w:r w:rsidR="00765719">
        <w:t>” and “Pharmacist will counsel patient at next visit”</w:t>
      </w:r>
      <w:r w:rsidRPr="00127EA1">
        <w:t>.</w:t>
      </w:r>
    </w:p>
    <w:p w14:paraId="28BDA8B6" w14:textId="77777777" w:rsidR="00E9381D" w:rsidRDefault="00E9381D" w:rsidP="00FB4278">
      <w:pPr>
        <w:pStyle w:val="BodyText"/>
      </w:pPr>
    </w:p>
    <w:p w14:paraId="050B9144" w14:textId="636D78F8" w:rsidR="00FB4278" w:rsidRPr="002C2B98" w:rsidRDefault="00FB4278" w:rsidP="00FB4278">
      <w:pPr>
        <w:pStyle w:val="BodyText"/>
        <w:rPr>
          <w:i/>
          <w:iCs/>
        </w:rPr>
      </w:pPr>
      <w:r w:rsidRPr="002C2B98">
        <w:t xml:space="preserve">For the intervention for concurrent use of opioid and </w:t>
      </w:r>
      <w:r>
        <w:t>benzodiazepine</w:t>
      </w:r>
      <w:r w:rsidRPr="002C2B98">
        <w:t xml:space="preserve">, a total of </w:t>
      </w:r>
      <w:r w:rsidR="0010127F">
        <w:t>79</w:t>
      </w:r>
      <w:r w:rsidRPr="002C2B98">
        <w:t xml:space="preserve"> participants were selected for intervention and </w:t>
      </w:r>
      <w:r w:rsidR="0010127F">
        <w:t>281</w:t>
      </w:r>
      <w:r w:rsidRPr="002C2B98">
        <w:t xml:space="preserve"> letters were mailed, with a response rate of </w:t>
      </w:r>
      <w:r w:rsidR="0010127F">
        <w:t>6</w:t>
      </w:r>
      <w:r w:rsidRPr="002C2B98">
        <w:t xml:space="preserve">% (prescribers) and </w:t>
      </w:r>
      <w:r>
        <w:t>13</w:t>
      </w:r>
      <w:r w:rsidRPr="002C2B98">
        <w:t xml:space="preserve">% (pharmacies). The </w:t>
      </w:r>
      <w:r w:rsidRPr="00127EA1">
        <w:t>top responses were “</w:t>
      </w:r>
      <w:r w:rsidR="00BC740C">
        <w:t>Provider did not prescribe drug attributed to them</w:t>
      </w:r>
      <w:r w:rsidRPr="00127EA1">
        <w:t>” and “Pharmacist will counsel patient at next visit.”</w:t>
      </w:r>
      <w:r w:rsidR="00BC740C">
        <w:t xml:space="preserve"> </w:t>
      </w:r>
    </w:p>
    <w:p w14:paraId="27D0906E" w14:textId="77777777" w:rsidR="00FB4278" w:rsidRDefault="00FB4278" w:rsidP="00FB4278">
      <w:pPr>
        <w:pStyle w:val="BodyText"/>
        <w:rPr>
          <w:sz w:val="22"/>
        </w:rPr>
      </w:pPr>
    </w:p>
    <w:p w14:paraId="0741A4AE" w14:textId="42F90FB6" w:rsidR="00FB4278" w:rsidRPr="00127EA1" w:rsidRDefault="00FB4278" w:rsidP="00FB4278">
      <w:pPr>
        <w:pStyle w:val="BodyText"/>
        <w:rPr>
          <w:sz w:val="22"/>
        </w:rPr>
      </w:pPr>
      <w:r w:rsidRPr="002C2B98">
        <w:t xml:space="preserve">The intervention for </w:t>
      </w:r>
      <w:r>
        <w:t xml:space="preserve">concurrent opioid and antipsychotic use </w:t>
      </w:r>
      <w:r w:rsidRPr="002C2B98">
        <w:t xml:space="preserve">saw a total of </w:t>
      </w:r>
      <w:r w:rsidR="0010127F">
        <w:t>78</w:t>
      </w:r>
      <w:r w:rsidRPr="002C2B98">
        <w:t xml:space="preserve"> participants flagged for intervention and </w:t>
      </w:r>
      <w:r w:rsidR="0010127F">
        <w:t>281</w:t>
      </w:r>
      <w:r w:rsidRPr="002C2B98">
        <w:t xml:space="preserve"> intervention letters mailed, with an average response rate of </w:t>
      </w:r>
      <w:r w:rsidR="0010127F">
        <w:t>6</w:t>
      </w:r>
      <w:r w:rsidRPr="002C2B98">
        <w:t xml:space="preserve">% (prescribers) and </w:t>
      </w:r>
      <w:r w:rsidRPr="00127EA1">
        <w:t>1</w:t>
      </w:r>
      <w:r w:rsidR="0010127F">
        <w:t>2</w:t>
      </w:r>
      <w:r w:rsidRPr="00127EA1">
        <w:t>% (pharmacies). The top responses were “</w:t>
      </w:r>
      <w:r w:rsidR="007F72EF">
        <w:t>Provider did not prescribe drug attributed to them</w:t>
      </w:r>
      <w:r w:rsidRPr="00127EA1">
        <w:t>” and “Pharmacist will counsel patient at</w:t>
      </w:r>
      <w:r>
        <w:t xml:space="preserve"> next visit”.</w:t>
      </w:r>
      <w:r w:rsidR="007F72EF">
        <w:t xml:space="preserve"> </w:t>
      </w:r>
    </w:p>
    <w:p w14:paraId="7C575D15" w14:textId="77777777" w:rsidR="00FB4278" w:rsidRPr="00127EA1" w:rsidRDefault="00FB4278" w:rsidP="00FB4278">
      <w:pPr>
        <w:rPr>
          <w:sz w:val="24"/>
        </w:rPr>
      </w:pPr>
    </w:p>
    <w:p w14:paraId="3E9ADF79" w14:textId="2ECEA590" w:rsidR="00FB4278" w:rsidRPr="00127EA1" w:rsidRDefault="00FB4278" w:rsidP="00FB4278">
      <w:pPr>
        <w:pStyle w:val="BodyText"/>
      </w:pPr>
      <w:r w:rsidRPr="00127EA1">
        <w:t xml:space="preserve">Follow-up occurred for </w:t>
      </w:r>
      <w:r>
        <w:t xml:space="preserve">those </w:t>
      </w:r>
      <w:r w:rsidRPr="00127EA1">
        <w:t>provider</w:t>
      </w:r>
      <w:r>
        <w:t>s</w:t>
      </w:r>
      <w:r w:rsidRPr="00127EA1">
        <w:t xml:space="preserve"> respon</w:t>
      </w:r>
      <w:r>
        <w:t xml:space="preserve">ding with </w:t>
      </w:r>
      <w:r w:rsidRPr="00127EA1">
        <w:t>“Provider did not prescribe drug attributed to him/her” and no fraudulent activity was identified.</w:t>
      </w:r>
      <w:r w:rsidR="007F72EF">
        <w:t xml:space="preserve"> </w:t>
      </w:r>
      <w:r w:rsidR="00765719">
        <w:t>I</w:t>
      </w:r>
      <w:r w:rsidR="007F72EF">
        <w:t xml:space="preserve">n all situations the </w:t>
      </w:r>
      <w:r w:rsidR="007F72EF" w:rsidRPr="00BC740C">
        <w:t xml:space="preserve">responding prescriber did prescribe at least </w:t>
      </w:r>
      <w:r w:rsidR="007F72EF">
        <w:t>one</w:t>
      </w:r>
      <w:r w:rsidR="007F72EF" w:rsidRPr="00BC740C">
        <w:t xml:space="preserve"> of the interacting </w:t>
      </w:r>
      <w:r w:rsidR="00567D1D" w:rsidRPr="00BC740C">
        <w:t>medications</w:t>
      </w:r>
      <w:r w:rsidR="00567D1D">
        <w:t xml:space="preserve"> but</w:t>
      </w:r>
      <w:r w:rsidR="007F72EF">
        <w:t xml:space="preserve"> used that response to indicate that they </w:t>
      </w:r>
      <w:r w:rsidR="007F72EF" w:rsidRPr="00BC740C">
        <w:t xml:space="preserve">only prescribed one of the </w:t>
      </w:r>
      <w:r w:rsidR="007F72EF">
        <w:t>two</w:t>
      </w:r>
      <w:r w:rsidR="007F72EF" w:rsidRPr="00BC740C">
        <w:t xml:space="preserve"> interacting medications.</w:t>
      </w:r>
    </w:p>
    <w:p w14:paraId="567BEDB6" w14:textId="77777777" w:rsidR="00FB4278" w:rsidRDefault="00FB4278" w:rsidP="00FB4278">
      <w:pPr>
        <w:rPr>
          <w:i/>
          <w:sz w:val="24"/>
        </w:rPr>
      </w:pPr>
    </w:p>
    <w:p w14:paraId="6B5B4744" w14:textId="77777777" w:rsidR="00FB4278" w:rsidRPr="00DD5B16" w:rsidRDefault="00FB4278" w:rsidP="00FB4278">
      <w:pPr>
        <w:rPr>
          <w:i/>
          <w:sz w:val="24"/>
        </w:rPr>
      </w:pPr>
      <w:r w:rsidRPr="00DD5B16">
        <w:rPr>
          <w:i/>
          <w:sz w:val="24"/>
        </w:rPr>
        <w:t>Future Retrospective DUR Intervention</w:t>
      </w:r>
    </w:p>
    <w:p w14:paraId="27C9E7FA" w14:textId="77777777" w:rsidR="00FB4278" w:rsidRPr="00DD5B16" w:rsidRDefault="00FB4278" w:rsidP="00FB4278">
      <w:pPr>
        <w:pStyle w:val="BodyText"/>
        <w:rPr>
          <w:i/>
        </w:rPr>
      </w:pPr>
    </w:p>
    <w:p w14:paraId="07D5276F" w14:textId="77777777" w:rsidR="00FB4278" w:rsidRPr="00DD5B16" w:rsidRDefault="00FB4278" w:rsidP="00FB4278">
      <w:pPr>
        <w:pStyle w:val="BodyText"/>
      </w:pPr>
      <w:r w:rsidRPr="00DD5B16">
        <w:t>The following new criteria were recommended for monthly monitoring under clinical criteria maintenance:</w:t>
      </w:r>
    </w:p>
    <w:p w14:paraId="77CDABF4" w14:textId="77777777" w:rsidR="00567D1D" w:rsidRPr="00567D1D" w:rsidRDefault="00567D1D" w:rsidP="00567D1D">
      <w:pPr>
        <w:pStyle w:val="BodyText"/>
        <w:numPr>
          <w:ilvl w:val="0"/>
          <w:numId w:val="1"/>
        </w:numPr>
        <w:rPr>
          <w:i/>
        </w:rPr>
      </w:pPr>
      <w:r w:rsidRPr="00567D1D">
        <w:rPr>
          <w:i/>
        </w:rPr>
        <w:t>Lybalvi® (olanzapine/samidorphan)</w:t>
      </w:r>
    </w:p>
    <w:p w14:paraId="6B1F7B15" w14:textId="1C8B5F04" w:rsidR="00FB4278" w:rsidRPr="00567D1D" w:rsidRDefault="00FB4278" w:rsidP="00567D1D">
      <w:pPr>
        <w:pStyle w:val="BodyText"/>
        <w:numPr>
          <w:ilvl w:val="1"/>
          <w:numId w:val="1"/>
        </w:numPr>
        <w:rPr>
          <w:iCs/>
        </w:rPr>
      </w:pPr>
      <w:r w:rsidRPr="00567D1D">
        <w:rPr>
          <w:iCs/>
        </w:rPr>
        <w:t>Overutilization, Underutilization</w:t>
      </w:r>
      <w:r w:rsidR="00867B01">
        <w:rPr>
          <w:iCs/>
        </w:rPr>
        <w:t>, Drug</w:t>
      </w:r>
      <w:r w:rsidR="000A1B5D">
        <w:rPr>
          <w:iCs/>
        </w:rPr>
        <w:t>-</w:t>
      </w:r>
      <w:r w:rsidR="00867B01">
        <w:rPr>
          <w:iCs/>
        </w:rPr>
        <w:t>Drug Interaction (opioids)</w:t>
      </w:r>
    </w:p>
    <w:p w14:paraId="34CE331E" w14:textId="77777777" w:rsidR="00567D1D" w:rsidRPr="00567D1D" w:rsidRDefault="00567D1D" w:rsidP="00567D1D">
      <w:pPr>
        <w:pStyle w:val="BodyText"/>
        <w:numPr>
          <w:ilvl w:val="0"/>
          <w:numId w:val="1"/>
        </w:numPr>
        <w:rPr>
          <w:i/>
        </w:rPr>
      </w:pPr>
      <w:r w:rsidRPr="00567D1D">
        <w:rPr>
          <w:i/>
        </w:rPr>
        <w:t>Fintepla® (fenfluramine)</w:t>
      </w:r>
    </w:p>
    <w:p w14:paraId="7467DD30" w14:textId="77777777" w:rsidR="00FB4278" w:rsidRPr="0062331B" w:rsidRDefault="00FB4278" w:rsidP="00FB4278">
      <w:pPr>
        <w:pStyle w:val="BodyText"/>
        <w:numPr>
          <w:ilvl w:val="1"/>
          <w:numId w:val="1"/>
        </w:numPr>
        <w:rPr>
          <w:iCs/>
          <w:szCs w:val="22"/>
        </w:rPr>
      </w:pPr>
      <w:r w:rsidRPr="0062331B">
        <w:rPr>
          <w:iCs/>
          <w:szCs w:val="22"/>
        </w:rPr>
        <w:t>Overutilization, Underutilization</w:t>
      </w:r>
    </w:p>
    <w:p w14:paraId="5069866D" w14:textId="77777777" w:rsidR="00567D1D" w:rsidRPr="00567D1D" w:rsidRDefault="00567D1D" w:rsidP="00567D1D">
      <w:pPr>
        <w:pStyle w:val="BodyText"/>
        <w:numPr>
          <w:ilvl w:val="0"/>
          <w:numId w:val="1"/>
        </w:numPr>
        <w:rPr>
          <w:i/>
        </w:rPr>
      </w:pPr>
      <w:r w:rsidRPr="00567D1D">
        <w:rPr>
          <w:i/>
        </w:rPr>
        <w:t>Qulipta™ (atogepant)</w:t>
      </w:r>
    </w:p>
    <w:p w14:paraId="679655FA" w14:textId="77777777" w:rsidR="00FB4278" w:rsidRPr="0062331B" w:rsidRDefault="00FB4278" w:rsidP="00FB4278">
      <w:pPr>
        <w:pStyle w:val="BodyText"/>
        <w:numPr>
          <w:ilvl w:val="1"/>
          <w:numId w:val="1"/>
        </w:numPr>
        <w:rPr>
          <w:iCs/>
          <w:szCs w:val="22"/>
        </w:rPr>
      </w:pPr>
      <w:r w:rsidRPr="0062331B">
        <w:rPr>
          <w:iCs/>
          <w:szCs w:val="22"/>
        </w:rPr>
        <w:t>Overutilization, Underutilization</w:t>
      </w:r>
    </w:p>
    <w:p w14:paraId="00B07F31" w14:textId="77777777" w:rsidR="00FB4278" w:rsidRPr="00567D1D" w:rsidRDefault="00FB4278" w:rsidP="00FB4278">
      <w:pPr>
        <w:pStyle w:val="BodyText"/>
        <w:rPr>
          <w:iCs/>
          <w:sz w:val="22"/>
        </w:rPr>
      </w:pPr>
    </w:p>
    <w:p w14:paraId="0E0C2B95" w14:textId="311700E4" w:rsidR="00FB4278" w:rsidRDefault="00FB4278" w:rsidP="00FB4278">
      <w:pPr>
        <w:pStyle w:val="BodyText"/>
      </w:pPr>
      <w:r>
        <w:t>Following discussion, t</w:t>
      </w:r>
      <w:r w:rsidRPr="00A40883">
        <w:t xml:space="preserve">he motion was made to </w:t>
      </w:r>
      <w:r>
        <w:t>add all</w:t>
      </w:r>
      <w:r w:rsidRPr="00A40883">
        <w:t xml:space="preserve"> criteria recommended</w:t>
      </w:r>
      <w:r>
        <w:t xml:space="preserve"> to monthly monitoring. Mo</w:t>
      </w:r>
      <w:r w:rsidRPr="00A40883">
        <w:t>tion passed.</w:t>
      </w:r>
      <w:r w:rsidR="006E3026">
        <w:t xml:space="preserve"> Board </w:t>
      </w:r>
      <w:r w:rsidR="008B3463">
        <w:t xml:space="preserve">members were requested to contact Lynn Frendak if they have </w:t>
      </w:r>
      <w:r w:rsidR="006E3026">
        <w:t xml:space="preserve">other recommendations. </w:t>
      </w:r>
    </w:p>
    <w:p w14:paraId="0A7555B7" w14:textId="710E0EBC" w:rsidR="006E3026" w:rsidRDefault="006E3026" w:rsidP="00FB4278">
      <w:pPr>
        <w:pStyle w:val="BodyText"/>
      </w:pPr>
    </w:p>
    <w:p w14:paraId="43582DAB" w14:textId="77777777" w:rsidR="008B3463" w:rsidRDefault="008B3463" w:rsidP="00FB4278">
      <w:pPr>
        <w:pStyle w:val="BodyText"/>
      </w:pPr>
    </w:p>
    <w:p w14:paraId="43A1750F" w14:textId="77777777" w:rsidR="00FB4278" w:rsidRPr="00DD5B16" w:rsidRDefault="00FB4278" w:rsidP="00FB4278">
      <w:pPr>
        <w:pStyle w:val="Heading1"/>
        <w:ind w:left="0"/>
      </w:pPr>
      <w:r w:rsidRPr="00DD5B16">
        <w:lastRenderedPageBreak/>
        <w:t>Other Business</w:t>
      </w:r>
    </w:p>
    <w:p w14:paraId="24148FD6" w14:textId="77777777" w:rsidR="00FB4278" w:rsidRPr="00DD5B16" w:rsidRDefault="00FB4278" w:rsidP="00FB4278">
      <w:pPr>
        <w:pStyle w:val="BodyText"/>
        <w:rPr>
          <w:b/>
        </w:rPr>
      </w:pPr>
    </w:p>
    <w:p w14:paraId="3BCE88D2" w14:textId="2F7B5936" w:rsidR="00733B3F" w:rsidRPr="00733B3F" w:rsidRDefault="00617462" w:rsidP="00733B3F">
      <w:pPr>
        <w:pStyle w:val="BodyText"/>
      </w:pPr>
      <w:r>
        <w:t>The next continuing education seminar will be held virtually on Saturday, April 30, from 9:00 am to 1:00 pm.</w:t>
      </w:r>
      <w:r w:rsidR="00853658">
        <w:t xml:space="preserve"> </w:t>
      </w:r>
      <w:r w:rsidR="006E3026">
        <w:t>F</w:t>
      </w:r>
      <w:r w:rsidR="00853658">
        <w:t>eature</w:t>
      </w:r>
      <w:r w:rsidR="006E3026">
        <w:t>d</w:t>
      </w:r>
      <w:r w:rsidR="00853658">
        <w:t xml:space="preserve"> </w:t>
      </w:r>
      <w:r w:rsidR="00733B3F" w:rsidRPr="00733B3F">
        <w:t xml:space="preserve">presentations </w:t>
      </w:r>
      <w:r w:rsidR="006E3026">
        <w:t xml:space="preserve">are </w:t>
      </w:r>
      <w:r w:rsidR="00733B3F" w:rsidRPr="00733B3F">
        <w:t xml:space="preserve">on substance use disorders and pain management.  </w:t>
      </w:r>
    </w:p>
    <w:p w14:paraId="132C5EBB" w14:textId="77777777" w:rsidR="00733B3F" w:rsidRDefault="00733B3F" w:rsidP="00733B3F">
      <w:pPr>
        <w:pStyle w:val="BodyText"/>
      </w:pPr>
    </w:p>
    <w:p w14:paraId="5817168A" w14:textId="46EC389C" w:rsidR="00733B3F" w:rsidRDefault="0088576F" w:rsidP="00733B3F">
      <w:pPr>
        <w:pStyle w:val="BodyText"/>
      </w:pPr>
      <w:r>
        <w:t>Staff attended t</w:t>
      </w:r>
      <w:r w:rsidR="00733B3F" w:rsidRPr="00733B3F">
        <w:t xml:space="preserve">he annual meeting of the American Drug Utilization Review Society </w:t>
      </w:r>
      <w:r>
        <w:t xml:space="preserve">in February where there </w:t>
      </w:r>
      <w:r w:rsidR="00733B3F" w:rsidRPr="00733B3F">
        <w:t>were many informative pres</w:t>
      </w:r>
      <w:r w:rsidR="00617462">
        <w:t>e</w:t>
      </w:r>
      <w:r w:rsidR="00733B3F" w:rsidRPr="00733B3F">
        <w:t xml:space="preserve">ntations and </w:t>
      </w:r>
      <w:r>
        <w:t xml:space="preserve">reports from </w:t>
      </w:r>
      <w:r w:rsidR="00733B3F" w:rsidRPr="00733B3F">
        <w:t xml:space="preserve">individual </w:t>
      </w:r>
      <w:r>
        <w:t>states. S</w:t>
      </w:r>
      <w:r w:rsidR="00975D1E">
        <w:t xml:space="preserve">everal ideas </w:t>
      </w:r>
      <w:r>
        <w:t xml:space="preserve">will be explored for implementation in </w:t>
      </w:r>
      <w:r w:rsidR="00733B3F" w:rsidRPr="00733B3F">
        <w:t>Maryland, especially in the area of fraud, waste, and abuse</w:t>
      </w:r>
      <w:r>
        <w:t>.</w:t>
      </w:r>
    </w:p>
    <w:p w14:paraId="10B71F67" w14:textId="77777777" w:rsidR="00733B3F" w:rsidRDefault="00733B3F" w:rsidP="00733B3F">
      <w:pPr>
        <w:pStyle w:val="BodyText"/>
      </w:pPr>
    </w:p>
    <w:p w14:paraId="491B08EC" w14:textId="08C88C32" w:rsidR="00FB4278" w:rsidRDefault="00FB4278" w:rsidP="00733B3F">
      <w:pPr>
        <w:pStyle w:val="BodyText"/>
      </w:pPr>
      <w:r>
        <w:t xml:space="preserve">The </w:t>
      </w:r>
      <w:r w:rsidRPr="00DD5B16">
        <w:t xml:space="preserve">next meeting of the DUR Board will be </w:t>
      </w:r>
      <w:r>
        <w:t xml:space="preserve">on </w:t>
      </w:r>
      <w:r w:rsidR="00900F71">
        <w:t>June 2</w:t>
      </w:r>
      <w:r w:rsidRPr="00DD5B16">
        <w:t>, 202</w:t>
      </w:r>
      <w:r>
        <w:t>2</w:t>
      </w:r>
      <w:r w:rsidRPr="00DD5B16">
        <w:t xml:space="preserve">, at 9:15 a.m. </w:t>
      </w:r>
      <w:r>
        <w:t xml:space="preserve">Further dates in 2022 are September 1, and December 1 with further details to be provided. </w:t>
      </w:r>
    </w:p>
    <w:p w14:paraId="2D322A24" w14:textId="77777777" w:rsidR="00FB4278" w:rsidRDefault="00FB4278" w:rsidP="00FB4278">
      <w:pPr>
        <w:pStyle w:val="BodyText"/>
      </w:pPr>
    </w:p>
    <w:p w14:paraId="788769D6" w14:textId="77777777" w:rsidR="00FB4278" w:rsidRPr="00D56F16" w:rsidRDefault="00FB4278" w:rsidP="00FB4278">
      <w:pPr>
        <w:pStyle w:val="BodyText"/>
      </w:pPr>
      <w:r>
        <w:t xml:space="preserve">DUR Board </w:t>
      </w:r>
      <w:r w:rsidRPr="00D56F16">
        <w:t>members were thanked for their service to the State of Maryland and the Maryland Department of Health.</w:t>
      </w:r>
    </w:p>
    <w:p w14:paraId="7DF430DF" w14:textId="77777777" w:rsidR="00FB4278" w:rsidRDefault="00FB4278" w:rsidP="00FB4278">
      <w:pPr>
        <w:pStyle w:val="BodyText"/>
      </w:pPr>
    </w:p>
    <w:p w14:paraId="29E08AE1" w14:textId="5DBA6C33" w:rsidR="00FB4278" w:rsidRDefault="00FB4278" w:rsidP="0088576F">
      <w:pPr>
        <w:pStyle w:val="BodyText"/>
      </w:pPr>
      <w:r w:rsidRPr="00DD5B16">
        <w:t>There being no additional business, the meeting was adjourned at 10:</w:t>
      </w:r>
      <w:r w:rsidR="00C4412E">
        <w:t>12</w:t>
      </w:r>
      <w:r w:rsidRPr="00DD5B16">
        <w:t xml:space="preserve"> a.m.</w:t>
      </w:r>
    </w:p>
    <w:sectPr w:rsidR="00FB4278" w:rsidSect="000A0D7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11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A05BF" w14:textId="77777777" w:rsidR="00054907" w:rsidRDefault="00054907">
      <w:r>
        <w:separator/>
      </w:r>
    </w:p>
  </w:endnote>
  <w:endnote w:type="continuationSeparator" w:id="0">
    <w:p w14:paraId="38D95405" w14:textId="77777777" w:rsidR="00054907" w:rsidRDefault="0005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B785" w14:textId="77777777" w:rsidR="00EF3235" w:rsidRDefault="002D7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C187" w14:textId="77777777" w:rsidR="00F70DE0" w:rsidRDefault="00900F71">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74D9600D" wp14:editId="5246C164">
              <wp:simplePos x="0" y="0"/>
              <wp:positionH relativeFrom="page">
                <wp:posOffset>6979920</wp:posOffset>
              </wp:positionH>
              <wp:positionV relativeFrom="page">
                <wp:posOffset>9199880</wp:posOffset>
              </wp:positionV>
              <wp:extent cx="16002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7968C" w14:textId="77777777" w:rsidR="00F70DE0" w:rsidRDefault="00900F71">
                          <w:pPr>
                            <w:spacing w:line="245" w:lineRule="exact"/>
                            <w:ind w:left="60"/>
                          </w:pPr>
                          <w:r>
                            <w:fldChar w:fldCharType="begin"/>
                          </w:r>
                          <w:r>
                            <w:instrText xml:space="preserve"> PAGE </w:instrText>
                          </w:r>
                          <w:r>
                            <w:fldChar w:fldCharType="separate"/>
                          </w:r>
                          <w:r>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9600D" id="_x0000_t202" coordsize="21600,21600" o:spt="202" path="m,l,21600r21600,l21600,xe">
              <v:stroke joinstyle="miter"/>
              <v:path gradientshapeok="t" o:connecttype="rect"/>
            </v:shapetype>
            <v:shape id="docshape1" o:spid="_x0000_s1026" type="#_x0000_t202" style="position:absolute;margin-left:549.6pt;margin-top:724.4pt;width:12.6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H61AEAAJADAAAOAAAAZHJzL2Uyb0RvYy54bWysU9uO0zAQfUfiHyy/06RFW1DUdLXsahHS&#10;AistfMDEsZOIxGPGbpPy9YydpsvlDfFiTTzjM+ecmeyup6EXR02+Q1vK9SqXQluFdWebUn79cv/q&#10;rRQ+gK2hR6tLedJeXu9fvtiNrtAbbLGvNQkGsb4YXSnbEFyRZV61egC/QqctJw3SAIE/qclqgpHR&#10;hz7b5Pk2G5FqR6i093x7NyflPuEbo1X4bIzXQfSlZG4hnZTOKp7ZfgdFQ+DaTp1pwD+wGKCz3PQC&#10;dQcBxIG6v6CGThF6NGGlcMjQmE7ppIHVrPM/1Dy14HTSwuZ4d7HJ/z9Y9en45B5JhOkdTjzAJMK7&#10;B1TfvLB424Jt9A0Rjq2Gmhuvo2XZ6Hxxfhqt9oWPINX4EWseMhwCJqDJ0BBdYZ2C0XkAp4vpegpC&#10;xZbbPN9wRnFqvb168/oqdYBieezIh/caBxGDUhLPNIHD8cGHSAaKpST2snjf9X2aa29/u+DCeJPI&#10;R74z8zBVE1dHERXWJ5ZBOK8JrzUHLdIPKUZekVL67wcgLUX/wbIVcZ+WgJagWgKwip+WMkgxh7dh&#10;3ruDo65pGXk22+IN22W6JOWZxZknjz0pPK9o3Ktfv1PV84+0/wkAAP//AwBQSwMEFAAGAAgAAAAh&#10;AKLQOmziAAAADwEAAA8AAABkcnMvZG93bnJldi54bWxMj8FOwzAQRO9I/IO1SNyo3SgqTYhTVQhO&#10;SIg0HDg6sZtYjdchdtvw92xOcNvZHc2+KXazG9jFTMF6lLBeCWAGW68tdhI+69eHLbAQFWo1eDQS&#10;fkyAXXl7U6hc+ytW5nKIHaMQDLmS0Mc45pyHtjdOhZUfDdLt6CenIsmp43pSVwp3A0+E2HCnLNKH&#10;Xo3muTft6XB2EvZfWL3Y7/fmozpWtq4zgW+bk5T3d/P+CVg0c/wzw4JP6FASU+PPqAMbSIssS8hL&#10;U5puqcXiWSdpCqxZdo9pBrws+P8e5S8AAAD//wMAUEsBAi0AFAAGAAgAAAAhALaDOJL+AAAA4QEA&#10;ABMAAAAAAAAAAAAAAAAAAAAAAFtDb250ZW50X1R5cGVzXS54bWxQSwECLQAUAAYACAAAACEAOP0h&#10;/9YAAACUAQAACwAAAAAAAAAAAAAAAAAvAQAAX3JlbHMvLnJlbHNQSwECLQAUAAYACAAAACEAoLjh&#10;+tQBAACQAwAADgAAAAAAAAAAAAAAAAAuAgAAZHJzL2Uyb0RvYy54bWxQSwECLQAUAAYACAAAACEA&#10;otA6bOIAAAAPAQAADwAAAAAAAAAAAAAAAAAuBAAAZHJzL2Rvd25yZXYueG1sUEsFBgAAAAAEAAQA&#10;8wAAAD0FAAAAAA==&#10;" filled="f" stroked="f">
              <v:textbox inset="0,0,0,0">
                <w:txbxContent>
                  <w:p w14:paraId="6EE7968C" w14:textId="77777777" w:rsidR="00F70DE0" w:rsidRDefault="00900F71">
                    <w:pPr>
                      <w:spacing w:line="245" w:lineRule="exact"/>
                      <w:ind w:left="60"/>
                    </w:pPr>
                    <w:r>
                      <w:fldChar w:fldCharType="begin"/>
                    </w:r>
                    <w:r>
                      <w:instrText xml:space="preserve"> PAGE </w:instrText>
                    </w:r>
                    <w:r>
                      <w:fldChar w:fldCharType="separate"/>
                    </w:r>
                    <w:r>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99141" w14:textId="77777777" w:rsidR="00EF3235" w:rsidRDefault="002D7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E0F6D" w14:textId="77777777" w:rsidR="00054907" w:rsidRDefault="00054907">
      <w:r>
        <w:separator/>
      </w:r>
    </w:p>
  </w:footnote>
  <w:footnote w:type="continuationSeparator" w:id="0">
    <w:p w14:paraId="654E9FDE" w14:textId="77777777" w:rsidR="00054907" w:rsidRDefault="00054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E725" w14:textId="77777777" w:rsidR="00EF3235" w:rsidRDefault="002D75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B347" w14:textId="03B8B631" w:rsidR="00EF3235" w:rsidRDefault="002D75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4C26" w14:textId="77777777" w:rsidR="00EF3235" w:rsidRDefault="002D75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6FF4"/>
    <w:multiLevelType w:val="hybridMultilevel"/>
    <w:tmpl w:val="7B666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EB0031"/>
    <w:multiLevelType w:val="hybridMultilevel"/>
    <w:tmpl w:val="1A1ADC62"/>
    <w:lvl w:ilvl="0" w:tplc="552CF768">
      <w:start w:val="1"/>
      <w:numFmt w:val="bullet"/>
      <w:lvlText w:val="•"/>
      <w:lvlJc w:val="left"/>
      <w:pPr>
        <w:tabs>
          <w:tab w:val="num" w:pos="720"/>
        </w:tabs>
        <w:ind w:left="720" w:hanging="360"/>
      </w:pPr>
      <w:rPr>
        <w:rFonts w:ascii="Arial" w:hAnsi="Arial" w:hint="default"/>
      </w:rPr>
    </w:lvl>
    <w:lvl w:ilvl="1" w:tplc="F654B604" w:tentative="1">
      <w:start w:val="1"/>
      <w:numFmt w:val="bullet"/>
      <w:lvlText w:val="•"/>
      <w:lvlJc w:val="left"/>
      <w:pPr>
        <w:tabs>
          <w:tab w:val="num" w:pos="1440"/>
        </w:tabs>
        <w:ind w:left="1440" w:hanging="360"/>
      </w:pPr>
      <w:rPr>
        <w:rFonts w:ascii="Arial" w:hAnsi="Arial" w:hint="default"/>
      </w:rPr>
    </w:lvl>
    <w:lvl w:ilvl="2" w:tplc="3C7A8FB6" w:tentative="1">
      <w:start w:val="1"/>
      <w:numFmt w:val="bullet"/>
      <w:lvlText w:val="•"/>
      <w:lvlJc w:val="left"/>
      <w:pPr>
        <w:tabs>
          <w:tab w:val="num" w:pos="2160"/>
        </w:tabs>
        <w:ind w:left="2160" w:hanging="360"/>
      </w:pPr>
      <w:rPr>
        <w:rFonts w:ascii="Arial" w:hAnsi="Arial" w:hint="default"/>
      </w:rPr>
    </w:lvl>
    <w:lvl w:ilvl="3" w:tplc="E6142050" w:tentative="1">
      <w:start w:val="1"/>
      <w:numFmt w:val="bullet"/>
      <w:lvlText w:val="•"/>
      <w:lvlJc w:val="left"/>
      <w:pPr>
        <w:tabs>
          <w:tab w:val="num" w:pos="2880"/>
        </w:tabs>
        <w:ind w:left="2880" w:hanging="360"/>
      </w:pPr>
      <w:rPr>
        <w:rFonts w:ascii="Arial" w:hAnsi="Arial" w:hint="default"/>
      </w:rPr>
    </w:lvl>
    <w:lvl w:ilvl="4" w:tplc="F7ECC17E" w:tentative="1">
      <w:start w:val="1"/>
      <w:numFmt w:val="bullet"/>
      <w:lvlText w:val="•"/>
      <w:lvlJc w:val="left"/>
      <w:pPr>
        <w:tabs>
          <w:tab w:val="num" w:pos="3600"/>
        </w:tabs>
        <w:ind w:left="3600" w:hanging="360"/>
      </w:pPr>
      <w:rPr>
        <w:rFonts w:ascii="Arial" w:hAnsi="Arial" w:hint="default"/>
      </w:rPr>
    </w:lvl>
    <w:lvl w:ilvl="5" w:tplc="92E4D792" w:tentative="1">
      <w:start w:val="1"/>
      <w:numFmt w:val="bullet"/>
      <w:lvlText w:val="•"/>
      <w:lvlJc w:val="left"/>
      <w:pPr>
        <w:tabs>
          <w:tab w:val="num" w:pos="4320"/>
        </w:tabs>
        <w:ind w:left="4320" w:hanging="360"/>
      </w:pPr>
      <w:rPr>
        <w:rFonts w:ascii="Arial" w:hAnsi="Arial" w:hint="default"/>
      </w:rPr>
    </w:lvl>
    <w:lvl w:ilvl="6" w:tplc="82046974" w:tentative="1">
      <w:start w:val="1"/>
      <w:numFmt w:val="bullet"/>
      <w:lvlText w:val="•"/>
      <w:lvlJc w:val="left"/>
      <w:pPr>
        <w:tabs>
          <w:tab w:val="num" w:pos="5040"/>
        </w:tabs>
        <w:ind w:left="5040" w:hanging="360"/>
      </w:pPr>
      <w:rPr>
        <w:rFonts w:ascii="Arial" w:hAnsi="Arial" w:hint="default"/>
      </w:rPr>
    </w:lvl>
    <w:lvl w:ilvl="7" w:tplc="13E82058" w:tentative="1">
      <w:start w:val="1"/>
      <w:numFmt w:val="bullet"/>
      <w:lvlText w:val="•"/>
      <w:lvlJc w:val="left"/>
      <w:pPr>
        <w:tabs>
          <w:tab w:val="num" w:pos="5760"/>
        </w:tabs>
        <w:ind w:left="5760" w:hanging="360"/>
      </w:pPr>
      <w:rPr>
        <w:rFonts w:ascii="Arial" w:hAnsi="Arial" w:hint="default"/>
      </w:rPr>
    </w:lvl>
    <w:lvl w:ilvl="8" w:tplc="5AE098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D387090"/>
    <w:multiLevelType w:val="hybridMultilevel"/>
    <w:tmpl w:val="2292B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CA6A9A"/>
    <w:multiLevelType w:val="hybridMultilevel"/>
    <w:tmpl w:val="B5EE18A2"/>
    <w:lvl w:ilvl="0" w:tplc="889E820E">
      <w:start w:val="1"/>
      <w:numFmt w:val="bullet"/>
      <w:lvlText w:val="•"/>
      <w:lvlJc w:val="left"/>
      <w:pPr>
        <w:tabs>
          <w:tab w:val="num" w:pos="720"/>
        </w:tabs>
        <w:ind w:left="720" w:hanging="360"/>
      </w:pPr>
      <w:rPr>
        <w:rFonts w:ascii="Arial" w:hAnsi="Arial" w:hint="default"/>
      </w:rPr>
    </w:lvl>
    <w:lvl w:ilvl="1" w:tplc="BF049E14" w:tentative="1">
      <w:start w:val="1"/>
      <w:numFmt w:val="bullet"/>
      <w:lvlText w:val="•"/>
      <w:lvlJc w:val="left"/>
      <w:pPr>
        <w:tabs>
          <w:tab w:val="num" w:pos="1440"/>
        </w:tabs>
        <w:ind w:left="1440" w:hanging="360"/>
      </w:pPr>
      <w:rPr>
        <w:rFonts w:ascii="Arial" w:hAnsi="Arial" w:hint="default"/>
      </w:rPr>
    </w:lvl>
    <w:lvl w:ilvl="2" w:tplc="DB840D44" w:tentative="1">
      <w:start w:val="1"/>
      <w:numFmt w:val="bullet"/>
      <w:lvlText w:val="•"/>
      <w:lvlJc w:val="left"/>
      <w:pPr>
        <w:tabs>
          <w:tab w:val="num" w:pos="2160"/>
        </w:tabs>
        <w:ind w:left="2160" w:hanging="360"/>
      </w:pPr>
      <w:rPr>
        <w:rFonts w:ascii="Arial" w:hAnsi="Arial" w:hint="default"/>
      </w:rPr>
    </w:lvl>
    <w:lvl w:ilvl="3" w:tplc="26084D32" w:tentative="1">
      <w:start w:val="1"/>
      <w:numFmt w:val="bullet"/>
      <w:lvlText w:val="•"/>
      <w:lvlJc w:val="left"/>
      <w:pPr>
        <w:tabs>
          <w:tab w:val="num" w:pos="2880"/>
        </w:tabs>
        <w:ind w:left="2880" w:hanging="360"/>
      </w:pPr>
      <w:rPr>
        <w:rFonts w:ascii="Arial" w:hAnsi="Arial" w:hint="default"/>
      </w:rPr>
    </w:lvl>
    <w:lvl w:ilvl="4" w:tplc="D3448530" w:tentative="1">
      <w:start w:val="1"/>
      <w:numFmt w:val="bullet"/>
      <w:lvlText w:val="•"/>
      <w:lvlJc w:val="left"/>
      <w:pPr>
        <w:tabs>
          <w:tab w:val="num" w:pos="3600"/>
        </w:tabs>
        <w:ind w:left="3600" w:hanging="360"/>
      </w:pPr>
      <w:rPr>
        <w:rFonts w:ascii="Arial" w:hAnsi="Arial" w:hint="default"/>
      </w:rPr>
    </w:lvl>
    <w:lvl w:ilvl="5" w:tplc="26B4299E" w:tentative="1">
      <w:start w:val="1"/>
      <w:numFmt w:val="bullet"/>
      <w:lvlText w:val="•"/>
      <w:lvlJc w:val="left"/>
      <w:pPr>
        <w:tabs>
          <w:tab w:val="num" w:pos="4320"/>
        </w:tabs>
        <w:ind w:left="4320" w:hanging="360"/>
      </w:pPr>
      <w:rPr>
        <w:rFonts w:ascii="Arial" w:hAnsi="Arial" w:hint="default"/>
      </w:rPr>
    </w:lvl>
    <w:lvl w:ilvl="6" w:tplc="0A7EF9AC" w:tentative="1">
      <w:start w:val="1"/>
      <w:numFmt w:val="bullet"/>
      <w:lvlText w:val="•"/>
      <w:lvlJc w:val="left"/>
      <w:pPr>
        <w:tabs>
          <w:tab w:val="num" w:pos="5040"/>
        </w:tabs>
        <w:ind w:left="5040" w:hanging="360"/>
      </w:pPr>
      <w:rPr>
        <w:rFonts w:ascii="Arial" w:hAnsi="Arial" w:hint="default"/>
      </w:rPr>
    </w:lvl>
    <w:lvl w:ilvl="7" w:tplc="06D0C1C4" w:tentative="1">
      <w:start w:val="1"/>
      <w:numFmt w:val="bullet"/>
      <w:lvlText w:val="•"/>
      <w:lvlJc w:val="left"/>
      <w:pPr>
        <w:tabs>
          <w:tab w:val="num" w:pos="5760"/>
        </w:tabs>
        <w:ind w:left="5760" w:hanging="360"/>
      </w:pPr>
      <w:rPr>
        <w:rFonts w:ascii="Arial" w:hAnsi="Arial" w:hint="default"/>
      </w:rPr>
    </w:lvl>
    <w:lvl w:ilvl="8" w:tplc="122A16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CA1291B"/>
    <w:multiLevelType w:val="hybridMultilevel"/>
    <w:tmpl w:val="EF5402F2"/>
    <w:lvl w:ilvl="0" w:tplc="DBD87A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341E57"/>
    <w:multiLevelType w:val="hybridMultilevel"/>
    <w:tmpl w:val="5972FC4A"/>
    <w:lvl w:ilvl="0" w:tplc="30AE05E2">
      <w:start w:val="1"/>
      <w:numFmt w:val="bullet"/>
      <w:lvlText w:val="•"/>
      <w:lvlJc w:val="left"/>
      <w:pPr>
        <w:tabs>
          <w:tab w:val="num" w:pos="720"/>
        </w:tabs>
        <w:ind w:left="720" w:hanging="360"/>
      </w:pPr>
      <w:rPr>
        <w:rFonts w:ascii="Arial" w:hAnsi="Arial" w:hint="default"/>
      </w:rPr>
    </w:lvl>
    <w:lvl w:ilvl="1" w:tplc="FF867726" w:tentative="1">
      <w:start w:val="1"/>
      <w:numFmt w:val="bullet"/>
      <w:lvlText w:val="•"/>
      <w:lvlJc w:val="left"/>
      <w:pPr>
        <w:tabs>
          <w:tab w:val="num" w:pos="1440"/>
        </w:tabs>
        <w:ind w:left="1440" w:hanging="360"/>
      </w:pPr>
      <w:rPr>
        <w:rFonts w:ascii="Arial" w:hAnsi="Arial" w:hint="default"/>
      </w:rPr>
    </w:lvl>
    <w:lvl w:ilvl="2" w:tplc="4AC25AF4" w:tentative="1">
      <w:start w:val="1"/>
      <w:numFmt w:val="bullet"/>
      <w:lvlText w:val="•"/>
      <w:lvlJc w:val="left"/>
      <w:pPr>
        <w:tabs>
          <w:tab w:val="num" w:pos="2160"/>
        </w:tabs>
        <w:ind w:left="2160" w:hanging="360"/>
      </w:pPr>
      <w:rPr>
        <w:rFonts w:ascii="Arial" w:hAnsi="Arial" w:hint="default"/>
      </w:rPr>
    </w:lvl>
    <w:lvl w:ilvl="3" w:tplc="9CFC0A1C" w:tentative="1">
      <w:start w:val="1"/>
      <w:numFmt w:val="bullet"/>
      <w:lvlText w:val="•"/>
      <w:lvlJc w:val="left"/>
      <w:pPr>
        <w:tabs>
          <w:tab w:val="num" w:pos="2880"/>
        </w:tabs>
        <w:ind w:left="2880" w:hanging="360"/>
      </w:pPr>
      <w:rPr>
        <w:rFonts w:ascii="Arial" w:hAnsi="Arial" w:hint="default"/>
      </w:rPr>
    </w:lvl>
    <w:lvl w:ilvl="4" w:tplc="2D9C3272" w:tentative="1">
      <w:start w:val="1"/>
      <w:numFmt w:val="bullet"/>
      <w:lvlText w:val="•"/>
      <w:lvlJc w:val="left"/>
      <w:pPr>
        <w:tabs>
          <w:tab w:val="num" w:pos="3600"/>
        </w:tabs>
        <w:ind w:left="3600" w:hanging="360"/>
      </w:pPr>
      <w:rPr>
        <w:rFonts w:ascii="Arial" w:hAnsi="Arial" w:hint="default"/>
      </w:rPr>
    </w:lvl>
    <w:lvl w:ilvl="5" w:tplc="D082A4D0" w:tentative="1">
      <w:start w:val="1"/>
      <w:numFmt w:val="bullet"/>
      <w:lvlText w:val="•"/>
      <w:lvlJc w:val="left"/>
      <w:pPr>
        <w:tabs>
          <w:tab w:val="num" w:pos="4320"/>
        </w:tabs>
        <w:ind w:left="4320" w:hanging="360"/>
      </w:pPr>
      <w:rPr>
        <w:rFonts w:ascii="Arial" w:hAnsi="Arial" w:hint="default"/>
      </w:rPr>
    </w:lvl>
    <w:lvl w:ilvl="6" w:tplc="524A56A4" w:tentative="1">
      <w:start w:val="1"/>
      <w:numFmt w:val="bullet"/>
      <w:lvlText w:val="•"/>
      <w:lvlJc w:val="left"/>
      <w:pPr>
        <w:tabs>
          <w:tab w:val="num" w:pos="5040"/>
        </w:tabs>
        <w:ind w:left="5040" w:hanging="360"/>
      </w:pPr>
      <w:rPr>
        <w:rFonts w:ascii="Arial" w:hAnsi="Arial" w:hint="default"/>
      </w:rPr>
    </w:lvl>
    <w:lvl w:ilvl="7" w:tplc="56B86AAC" w:tentative="1">
      <w:start w:val="1"/>
      <w:numFmt w:val="bullet"/>
      <w:lvlText w:val="•"/>
      <w:lvlJc w:val="left"/>
      <w:pPr>
        <w:tabs>
          <w:tab w:val="num" w:pos="5760"/>
        </w:tabs>
        <w:ind w:left="5760" w:hanging="360"/>
      </w:pPr>
      <w:rPr>
        <w:rFonts w:ascii="Arial" w:hAnsi="Arial" w:hint="default"/>
      </w:rPr>
    </w:lvl>
    <w:lvl w:ilvl="8" w:tplc="A3020D5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22C4412"/>
    <w:multiLevelType w:val="hybridMultilevel"/>
    <w:tmpl w:val="C2EED372"/>
    <w:lvl w:ilvl="0" w:tplc="98A0BC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8829088">
    <w:abstractNumId w:val="2"/>
  </w:num>
  <w:num w:numId="2" w16cid:durableId="111024430">
    <w:abstractNumId w:val="6"/>
  </w:num>
  <w:num w:numId="3" w16cid:durableId="594902415">
    <w:abstractNumId w:val="1"/>
  </w:num>
  <w:num w:numId="4" w16cid:durableId="1075935831">
    <w:abstractNumId w:val="3"/>
  </w:num>
  <w:num w:numId="5" w16cid:durableId="1380280847">
    <w:abstractNumId w:val="5"/>
  </w:num>
  <w:num w:numId="6" w16cid:durableId="1068264662">
    <w:abstractNumId w:val="0"/>
  </w:num>
  <w:num w:numId="7" w16cid:durableId="15036680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278"/>
    <w:rsid w:val="00054907"/>
    <w:rsid w:val="000620DA"/>
    <w:rsid w:val="00063590"/>
    <w:rsid w:val="000A0D70"/>
    <w:rsid w:val="000A1B5D"/>
    <w:rsid w:val="0010127F"/>
    <w:rsid w:val="00114BCB"/>
    <w:rsid w:val="00160278"/>
    <w:rsid w:val="001C6F2B"/>
    <w:rsid w:val="002313EB"/>
    <w:rsid w:val="002C4B1C"/>
    <w:rsid w:val="002D7542"/>
    <w:rsid w:val="00437E30"/>
    <w:rsid w:val="005077B1"/>
    <w:rsid w:val="00567D1D"/>
    <w:rsid w:val="00581929"/>
    <w:rsid w:val="006129FE"/>
    <w:rsid w:val="00617462"/>
    <w:rsid w:val="0069308E"/>
    <w:rsid w:val="006E3026"/>
    <w:rsid w:val="00733B3F"/>
    <w:rsid w:val="007457F4"/>
    <w:rsid w:val="00765719"/>
    <w:rsid w:val="007A04D6"/>
    <w:rsid w:val="007A65F3"/>
    <w:rsid w:val="007E330E"/>
    <w:rsid w:val="007F72EF"/>
    <w:rsid w:val="00853658"/>
    <w:rsid w:val="00867B01"/>
    <w:rsid w:val="008705FD"/>
    <w:rsid w:val="0088576F"/>
    <w:rsid w:val="008B3463"/>
    <w:rsid w:val="00900F71"/>
    <w:rsid w:val="00905212"/>
    <w:rsid w:val="009739D9"/>
    <w:rsid w:val="00975D1E"/>
    <w:rsid w:val="00981110"/>
    <w:rsid w:val="00A3699D"/>
    <w:rsid w:val="00AB5A05"/>
    <w:rsid w:val="00B008B5"/>
    <w:rsid w:val="00BC740C"/>
    <w:rsid w:val="00C42B91"/>
    <w:rsid w:val="00C4412E"/>
    <w:rsid w:val="00D72296"/>
    <w:rsid w:val="00DF169F"/>
    <w:rsid w:val="00E64C9E"/>
    <w:rsid w:val="00E9381D"/>
    <w:rsid w:val="00F00473"/>
    <w:rsid w:val="00F03018"/>
    <w:rsid w:val="00F6235F"/>
    <w:rsid w:val="00FB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29360"/>
  <w15:chartTrackingRefBased/>
  <w15:docId w15:val="{E0AF61C6-948B-41E6-9F03-66191876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278"/>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FB4278"/>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278"/>
    <w:rPr>
      <w:rFonts w:ascii="Calibri" w:eastAsia="Calibri" w:hAnsi="Calibri" w:cs="Calibri"/>
      <w:b/>
      <w:bCs/>
      <w:sz w:val="24"/>
      <w:szCs w:val="24"/>
    </w:rPr>
  </w:style>
  <w:style w:type="paragraph" w:styleId="BodyText">
    <w:name w:val="Body Text"/>
    <w:basedOn w:val="Normal"/>
    <w:link w:val="BodyTextChar"/>
    <w:uiPriority w:val="1"/>
    <w:qFormat/>
    <w:rsid w:val="00FB4278"/>
    <w:rPr>
      <w:sz w:val="24"/>
      <w:szCs w:val="24"/>
    </w:rPr>
  </w:style>
  <w:style w:type="character" w:customStyle="1" w:styleId="BodyTextChar">
    <w:name w:val="Body Text Char"/>
    <w:basedOn w:val="DefaultParagraphFont"/>
    <w:link w:val="BodyText"/>
    <w:uiPriority w:val="1"/>
    <w:rsid w:val="00FB4278"/>
    <w:rPr>
      <w:rFonts w:ascii="Calibri" w:eastAsia="Calibri" w:hAnsi="Calibri" w:cs="Calibri"/>
      <w:sz w:val="24"/>
      <w:szCs w:val="24"/>
    </w:rPr>
  </w:style>
  <w:style w:type="paragraph" w:styleId="Header">
    <w:name w:val="header"/>
    <w:basedOn w:val="Normal"/>
    <w:link w:val="HeaderChar"/>
    <w:uiPriority w:val="99"/>
    <w:unhideWhenUsed/>
    <w:rsid w:val="00FB4278"/>
    <w:pPr>
      <w:tabs>
        <w:tab w:val="center" w:pos="4680"/>
        <w:tab w:val="right" w:pos="9360"/>
      </w:tabs>
    </w:pPr>
  </w:style>
  <w:style w:type="character" w:customStyle="1" w:styleId="HeaderChar">
    <w:name w:val="Header Char"/>
    <w:basedOn w:val="DefaultParagraphFont"/>
    <w:link w:val="Header"/>
    <w:uiPriority w:val="99"/>
    <w:rsid w:val="00FB4278"/>
    <w:rPr>
      <w:rFonts w:ascii="Calibri" w:eastAsia="Calibri" w:hAnsi="Calibri" w:cs="Calibri"/>
    </w:rPr>
  </w:style>
  <w:style w:type="paragraph" w:styleId="Footer">
    <w:name w:val="footer"/>
    <w:basedOn w:val="Normal"/>
    <w:link w:val="FooterChar"/>
    <w:uiPriority w:val="99"/>
    <w:unhideWhenUsed/>
    <w:rsid w:val="00FB4278"/>
    <w:pPr>
      <w:tabs>
        <w:tab w:val="center" w:pos="4680"/>
        <w:tab w:val="right" w:pos="9360"/>
      </w:tabs>
    </w:pPr>
  </w:style>
  <w:style w:type="character" w:customStyle="1" w:styleId="FooterChar">
    <w:name w:val="Footer Char"/>
    <w:basedOn w:val="DefaultParagraphFont"/>
    <w:link w:val="Footer"/>
    <w:uiPriority w:val="99"/>
    <w:rsid w:val="00FB4278"/>
    <w:rPr>
      <w:rFonts w:ascii="Calibri" w:eastAsia="Calibri" w:hAnsi="Calibri" w:cs="Calibri"/>
    </w:rPr>
  </w:style>
  <w:style w:type="character" w:styleId="Hyperlink">
    <w:name w:val="Hyperlink"/>
    <w:basedOn w:val="DefaultParagraphFont"/>
    <w:uiPriority w:val="99"/>
    <w:unhideWhenUsed/>
    <w:rsid w:val="00FB4278"/>
    <w:rPr>
      <w:color w:val="0563C1" w:themeColor="hyperlink"/>
      <w:u w:val="single"/>
    </w:rPr>
  </w:style>
  <w:style w:type="paragraph" w:styleId="ListParagraph">
    <w:name w:val="List Paragraph"/>
    <w:basedOn w:val="Normal"/>
    <w:uiPriority w:val="34"/>
    <w:qFormat/>
    <w:rsid w:val="00567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632188">
      <w:bodyDiv w:val="1"/>
      <w:marLeft w:val="0"/>
      <w:marRight w:val="0"/>
      <w:marTop w:val="0"/>
      <w:marBottom w:val="0"/>
      <w:divBdr>
        <w:top w:val="none" w:sz="0" w:space="0" w:color="auto"/>
        <w:left w:val="none" w:sz="0" w:space="0" w:color="auto"/>
        <w:bottom w:val="none" w:sz="0" w:space="0" w:color="auto"/>
        <w:right w:val="none" w:sz="0" w:space="0" w:color="auto"/>
      </w:divBdr>
      <w:divsChild>
        <w:div w:id="1305741754">
          <w:marLeft w:val="360"/>
          <w:marRight w:val="0"/>
          <w:marTop w:val="200"/>
          <w:marBottom w:val="0"/>
          <w:divBdr>
            <w:top w:val="none" w:sz="0" w:space="0" w:color="auto"/>
            <w:left w:val="none" w:sz="0" w:space="0" w:color="auto"/>
            <w:bottom w:val="none" w:sz="0" w:space="0" w:color="auto"/>
            <w:right w:val="none" w:sz="0" w:space="0" w:color="auto"/>
          </w:divBdr>
        </w:div>
      </w:divsChild>
    </w:div>
    <w:div w:id="1482235575">
      <w:bodyDiv w:val="1"/>
      <w:marLeft w:val="0"/>
      <w:marRight w:val="0"/>
      <w:marTop w:val="0"/>
      <w:marBottom w:val="0"/>
      <w:divBdr>
        <w:top w:val="none" w:sz="0" w:space="0" w:color="auto"/>
        <w:left w:val="none" w:sz="0" w:space="0" w:color="auto"/>
        <w:bottom w:val="none" w:sz="0" w:space="0" w:color="auto"/>
        <w:right w:val="none" w:sz="0" w:space="0" w:color="auto"/>
      </w:divBdr>
      <w:divsChild>
        <w:div w:id="1438914998">
          <w:marLeft w:val="360"/>
          <w:marRight w:val="0"/>
          <w:marTop w:val="200"/>
          <w:marBottom w:val="0"/>
          <w:divBdr>
            <w:top w:val="none" w:sz="0" w:space="0" w:color="auto"/>
            <w:left w:val="none" w:sz="0" w:space="0" w:color="auto"/>
            <w:bottom w:val="none" w:sz="0" w:space="0" w:color="auto"/>
            <w:right w:val="none" w:sz="0" w:space="0" w:color="auto"/>
          </w:divBdr>
        </w:div>
      </w:divsChild>
    </w:div>
    <w:div w:id="1655185973">
      <w:bodyDiv w:val="1"/>
      <w:marLeft w:val="0"/>
      <w:marRight w:val="0"/>
      <w:marTop w:val="0"/>
      <w:marBottom w:val="0"/>
      <w:divBdr>
        <w:top w:val="none" w:sz="0" w:space="0" w:color="auto"/>
        <w:left w:val="none" w:sz="0" w:space="0" w:color="auto"/>
        <w:bottom w:val="none" w:sz="0" w:space="0" w:color="auto"/>
        <w:right w:val="none" w:sz="0" w:space="0" w:color="auto"/>
      </w:divBdr>
    </w:div>
    <w:div w:id="1881547622">
      <w:bodyDiv w:val="1"/>
      <w:marLeft w:val="0"/>
      <w:marRight w:val="0"/>
      <w:marTop w:val="0"/>
      <w:marBottom w:val="0"/>
      <w:divBdr>
        <w:top w:val="none" w:sz="0" w:space="0" w:color="auto"/>
        <w:left w:val="none" w:sz="0" w:space="0" w:color="auto"/>
        <w:bottom w:val="none" w:sz="0" w:space="0" w:color="auto"/>
        <w:right w:val="none" w:sz="0" w:space="0" w:color="auto"/>
      </w:divBdr>
      <w:divsChild>
        <w:div w:id="146199668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CA55068F98C2449A1EC1B449DF22BD" ma:contentTypeVersion="11" ma:contentTypeDescription="Create a new document." ma:contentTypeScope="" ma:versionID="bfd30b238dcd310966a8c614c2f83811">
  <xsd:schema xmlns:xsd="http://www.w3.org/2001/XMLSchema" xmlns:xs="http://www.w3.org/2001/XMLSchema" xmlns:p="http://schemas.microsoft.com/office/2006/metadata/properties" targetNamespace="http://schemas.microsoft.com/office/2006/metadata/properties" ma:root="true" ma:fieldsID="cdc0f480c4674b5b6708d638a1d47b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524E38-BD13-47EB-84A7-8F24938C4303}"/>
</file>

<file path=customXml/itemProps2.xml><?xml version="1.0" encoding="utf-8"?>
<ds:datastoreItem xmlns:ds="http://schemas.openxmlformats.org/officeDocument/2006/customXml" ds:itemID="{231DA8F0-5F46-4D8C-BE35-BDC94401FB7B}"/>
</file>

<file path=customXml/itemProps3.xml><?xml version="1.0" encoding="utf-8"?>
<ds:datastoreItem xmlns:ds="http://schemas.openxmlformats.org/officeDocument/2006/customXml" ds:itemID="{2E8D9B22-C871-431B-BC77-B37461CF1FF4}"/>
</file>

<file path=docProps/app.xml><?xml version="1.0" encoding="utf-8"?>
<Properties xmlns="http://schemas.openxmlformats.org/officeDocument/2006/extended-properties" xmlns:vt="http://schemas.openxmlformats.org/officeDocument/2006/docPropsVTypes">
  <Template>Normal</Template>
  <TotalTime>4</TotalTime>
  <Pages>6</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dc:creator>
  <cp:keywords/>
  <dc:description/>
  <cp:lastModifiedBy>Lynn Frendak</cp:lastModifiedBy>
  <cp:revision>4</cp:revision>
  <dcterms:created xsi:type="dcterms:W3CDTF">2022-05-27T14:39:00Z</dcterms:created>
  <dcterms:modified xsi:type="dcterms:W3CDTF">2022-06-06T17:08:00Z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0x0101004ACA55068F98C2449A1EC1B449DF22BD</vt:lpwstr>
  </property>
</Properties>
</file>