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224F" w14:textId="77777777" w:rsidR="00680942" w:rsidRDefault="00680942" w:rsidP="0068094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73F2849" w14:textId="77777777" w:rsidR="00680942" w:rsidRDefault="00680942" w:rsidP="0068094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5CF94E76" w14:textId="77777777" w:rsidR="00680942" w:rsidRDefault="00680942" w:rsidP="0068094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6343EBD1" w14:textId="40711902" w:rsidR="00680942" w:rsidRDefault="00680942" w:rsidP="0068094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23 • Page </w:t>
      </w:r>
      <w:r>
        <w:rPr>
          <w:rFonts w:ascii="Arial" w:eastAsia="Times New Roman" w:hAnsi="Arial" w:cs="Arial"/>
          <w:b/>
          <w:color w:val="000080"/>
          <w:sz w:val="28"/>
          <w:szCs w:val="28"/>
        </w:rPr>
        <w:t>1004-1005</w:t>
      </w:r>
    </w:p>
    <w:p w14:paraId="3FBAA0CB" w14:textId="77777777" w:rsidR="00680942" w:rsidRPr="00085EB6" w:rsidRDefault="00680942" w:rsidP="0068094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75770EEE" w14:textId="77777777" w:rsidR="00680942" w:rsidRDefault="00680942" w:rsidP="00680942">
      <w:pPr>
        <w:pStyle w:val="st"/>
        <w:spacing w:before="0" w:beforeAutospacing="0" w:after="80" w:afterAutospacing="0"/>
        <w:jc w:val="center"/>
        <w:rPr>
          <w:b/>
          <w:bCs/>
          <w:color w:val="000000"/>
          <w:sz w:val="28"/>
          <w:szCs w:val="28"/>
        </w:rPr>
      </w:pPr>
      <w:r>
        <w:rPr>
          <w:b/>
          <w:bCs/>
          <w:color w:val="000000"/>
          <w:sz w:val="28"/>
          <w:szCs w:val="28"/>
        </w:rPr>
        <w:t>Subtitle 67 MARYLAND HEALTHCHOICE PROGRAM</w:t>
      </w:r>
    </w:p>
    <w:p w14:paraId="7384C275" w14:textId="77777777" w:rsidR="00680942" w:rsidRDefault="00680942" w:rsidP="00680942">
      <w:pPr>
        <w:pStyle w:val="ch"/>
        <w:spacing w:before="0" w:beforeAutospacing="0" w:after="120" w:afterAutospacing="0"/>
        <w:ind w:left="158" w:hanging="158"/>
        <w:jc w:val="both"/>
        <w:rPr>
          <w:b/>
          <w:bCs/>
          <w:color w:val="000000"/>
          <w:sz w:val="27"/>
          <w:szCs w:val="27"/>
        </w:rPr>
      </w:pPr>
      <w:bookmarkStart w:id="0" w:name="_Toc55217274"/>
      <w:bookmarkEnd w:id="0"/>
      <w:r>
        <w:rPr>
          <w:b/>
          <w:bCs/>
          <w:color w:val="000000"/>
          <w:sz w:val="27"/>
          <w:szCs w:val="27"/>
        </w:rPr>
        <w:t>10.67.04 Maryland Medicaid Managed Care Program: Managed Care Organizations</w:t>
      </w:r>
    </w:p>
    <w:p w14:paraId="47250867" w14:textId="77777777" w:rsidR="00680942" w:rsidRDefault="00680942" w:rsidP="00680942">
      <w:pPr>
        <w:pStyle w:val="au"/>
        <w:spacing w:before="120" w:beforeAutospacing="0" w:after="0" w:afterAutospacing="0"/>
        <w:jc w:val="center"/>
        <w:rPr>
          <w:color w:val="000000"/>
          <w:sz w:val="16"/>
          <w:szCs w:val="16"/>
        </w:rPr>
      </w:pPr>
      <w:r>
        <w:rPr>
          <w:color w:val="000000"/>
          <w:sz w:val="16"/>
          <w:szCs w:val="16"/>
        </w:rPr>
        <w:t>Authority: Health-General Article, §§</w:t>
      </w:r>
      <w:r>
        <w:rPr>
          <w:i/>
          <w:iCs/>
          <w:color w:val="000000"/>
          <w:sz w:val="16"/>
          <w:szCs w:val="16"/>
        </w:rPr>
        <w:t>15-101</w:t>
      </w:r>
      <w:r>
        <w:rPr>
          <w:color w:val="000000"/>
          <w:sz w:val="16"/>
          <w:szCs w:val="16"/>
        </w:rPr>
        <w:t> and 15-103(b), Annotated Code of Maryland</w:t>
      </w:r>
    </w:p>
    <w:p w14:paraId="72C021AB"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4FD89D8C" w14:textId="77777777" w:rsidR="00680942" w:rsidRDefault="00680942" w:rsidP="00680942">
      <w:pPr>
        <w:pStyle w:val="dn"/>
        <w:spacing w:before="40" w:beforeAutospacing="0" w:after="40" w:afterAutospacing="0"/>
        <w:jc w:val="center"/>
        <w:rPr>
          <w:color w:val="000000"/>
          <w:sz w:val="16"/>
          <w:szCs w:val="16"/>
        </w:rPr>
      </w:pPr>
      <w:r>
        <w:rPr>
          <w:color w:val="000000"/>
          <w:sz w:val="16"/>
          <w:szCs w:val="16"/>
        </w:rPr>
        <w:t>[20-181-P]</w:t>
      </w:r>
    </w:p>
    <w:p w14:paraId="4420EA96"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 </w:t>
      </w:r>
      <w:r>
        <w:rPr>
          <w:b/>
          <w:bCs/>
          <w:color w:val="000000"/>
          <w:sz w:val="18"/>
          <w:szCs w:val="18"/>
        </w:rPr>
        <w:t>.03</w:t>
      </w:r>
      <w:r>
        <w:rPr>
          <w:color w:val="000000"/>
          <w:sz w:val="18"/>
          <w:szCs w:val="18"/>
        </w:rPr>
        <w:t> under </w:t>
      </w:r>
      <w:r>
        <w:rPr>
          <w:b/>
          <w:bCs/>
          <w:color w:val="000000"/>
          <w:sz w:val="18"/>
          <w:szCs w:val="18"/>
        </w:rPr>
        <w:t>COMAR 10.67.04 Maryland Medicaid Managed Care Program: Managed Care Organizations</w:t>
      </w:r>
      <w:r>
        <w:rPr>
          <w:color w:val="000000"/>
          <w:sz w:val="18"/>
          <w:szCs w:val="18"/>
        </w:rPr>
        <w:t>.</w:t>
      </w:r>
    </w:p>
    <w:p w14:paraId="3DD45775"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Statement of Purpose</w:t>
      </w:r>
    </w:p>
    <w:p w14:paraId="162BEA9D"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 purpose of this action is to implement the CY 2021 MCO value-based purchasing (VBP) core performance measures.</w:t>
      </w:r>
    </w:p>
    <w:p w14:paraId="2DD44AF9"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444D064D"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59F79BA0"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0B1A394C"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0814C8DE"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206A9F3A"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356B3EDA"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6E56EF4F"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182799CB" w14:textId="77777777" w:rsidR="00680942" w:rsidRDefault="00680942" w:rsidP="00680942">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4243D065" w14:textId="77777777" w:rsidR="00680942" w:rsidRDefault="00680942" w:rsidP="00680942">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3E9E8FC1" w14:textId="77777777" w:rsidR="00680942" w:rsidRDefault="00680942" w:rsidP="00680942">
      <w:pPr>
        <w:pStyle w:val="rt"/>
        <w:spacing w:before="140" w:beforeAutospacing="0" w:after="0" w:afterAutospacing="0"/>
        <w:ind w:left="533" w:hanging="533"/>
        <w:jc w:val="both"/>
        <w:rPr>
          <w:b/>
          <w:bCs/>
          <w:color w:val="000000"/>
          <w:sz w:val="18"/>
          <w:szCs w:val="18"/>
        </w:rPr>
      </w:pPr>
      <w:r>
        <w:rPr>
          <w:b/>
          <w:bCs/>
          <w:color w:val="000000"/>
          <w:sz w:val="18"/>
          <w:szCs w:val="18"/>
        </w:rPr>
        <w:t>.03 Quality Assessment and Improvement.</w:t>
      </w:r>
    </w:p>
    <w:p w14:paraId="63FDA984" w14:textId="77777777" w:rsidR="00680942" w:rsidRDefault="00680942" w:rsidP="00680942">
      <w:pPr>
        <w:pStyle w:val="p1"/>
        <w:spacing w:before="0" w:beforeAutospacing="0" w:after="0" w:afterAutospacing="0"/>
        <w:ind w:firstLine="216"/>
        <w:jc w:val="both"/>
        <w:rPr>
          <w:color w:val="000000"/>
          <w:sz w:val="18"/>
          <w:szCs w:val="18"/>
        </w:rPr>
      </w:pPr>
      <w:r>
        <w:rPr>
          <w:color w:val="000000"/>
          <w:sz w:val="18"/>
          <w:szCs w:val="18"/>
        </w:rPr>
        <w:t>A. (text unchanged)</w:t>
      </w:r>
    </w:p>
    <w:p w14:paraId="155D14F5" w14:textId="77777777" w:rsidR="00680942" w:rsidRDefault="00680942" w:rsidP="00680942">
      <w:pPr>
        <w:pStyle w:val="p1"/>
        <w:spacing w:before="0" w:beforeAutospacing="0" w:after="0" w:afterAutospacing="0"/>
        <w:ind w:firstLine="216"/>
        <w:jc w:val="both"/>
        <w:rPr>
          <w:color w:val="000000"/>
          <w:sz w:val="18"/>
          <w:szCs w:val="18"/>
        </w:rPr>
      </w:pPr>
      <w:r>
        <w:rPr>
          <w:color w:val="000000"/>
          <w:sz w:val="18"/>
          <w:szCs w:val="18"/>
        </w:rPr>
        <w:t>B. An MCO shall participate in all quality assessment activities required by the Department to determine if the MCO is providing medically necessary enrollee health care. These activities include, but are not limited to:</w:t>
      </w:r>
    </w:p>
    <w:p w14:paraId="2EF9B2FA" w14:textId="77777777" w:rsidR="00680942" w:rsidRDefault="00680942" w:rsidP="00680942">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text unchanged</w:t>
      </w:r>
    </w:p>
    <w:p w14:paraId="3C53EE99" w14:textId="77777777" w:rsidR="00680942" w:rsidRDefault="00680942" w:rsidP="00680942">
      <w:pPr>
        <w:pStyle w:val="p2"/>
        <w:spacing w:before="0" w:beforeAutospacing="0" w:after="0" w:afterAutospacing="0"/>
        <w:ind w:firstLine="432"/>
        <w:jc w:val="both"/>
        <w:rPr>
          <w:color w:val="000000"/>
          <w:sz w:val="18"/>
          <w:szCs w:val="18"/>
        </w:rPr>
      </w:pPr>
      <w:r>
        <w:rPr>
          <w:color w:val="000000"/>
          <w:sz w:val="18"/>
          <w:szCs w:val="18"/>
        </w:rPr>
        <w:t>(3) The annual collection and evaluation of a set of performance measures with targets as determined by the Department as follows:</w:t>
      </w:r>
    </w:p>
    <w:p w14:paraId="7AF52BE2" w14:textId="77777777" w:rsidR="00680942" w:rsidRDefault="00680942" w:rsidP="00680942">
      <w:pPr>
        <w:pStyle w:val="p3"/>
        <w:spacing w:before="0" w:beforeAutospacing="0" w:after="0" w:afterAutospacing="0"/>
        <w:ind w:firstLine="648"/>
        <w:jc w:val="both"/>
        <w:rPr>
          <w:color w:val="000000"/>
          <w:sz w:val="18"/>
          <w:szCs w:val="18"/>
        </w:rPr>
      </w:pPr>
      <w:r>
        <w:rPr>
          <w:color w:val="000000"/>
          <w:sz w:val="18"/>
          <w:szCs w:val="18"/>
        </w:rPr>
        <w:t>(a)—(c) (text unchanged)</w:t>
      </w:r>
    </w:p>
    <w:p w14:paraId="2AA1882C" w14:textId="77777777" w:rsidR="00680942" w:rsidRDefault="00680942" w:rsidP="00680942">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(d) Effective January 1, 2014, the core performance measures are:</w:t>
      </w:r>
    </w:p>
    <w:p w14:paraId="11F1B842"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xml:space="preserve">) Adolescent well care </w:t>
      </w:r>
      <w:proofErr w:type="gramStart"/>
      <w:r>
        <w:rPr>
          <w:color w:val="000000"/>
          <w:sz w:val="18"/>
          <w:szCs w:val="18"/>
        </w:rPr>
        <w:t>visits;</w:t>
      </w:r>
      <w:proofErr w:type="gramEnd"/>
    </w:p>
    <w:p w14:paraId="01367F44"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(ii) Adult Body Mass Index (BMI) </w:t>
      </w:r>
      <w:proofErr w:type="gramStart"/>
      <w:r>
        <w:rPr>
          <w:color w:val="000000"/>
          <w:sz w:val="18"/>
          <w:szCs w:val="18"/>
        </w:rPr>
        <w:t>assessment;</w:t>
      </w:r>
      <w:proofErr w:type="gramEnd"/>
    </w:p>
    <w:p w14:paraId="22BD0B87"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(iii) Ambulatory care for Supplemental Security Income (SSI) </w:t>
      </w:r>
      <w:proofErr w:type="gramStart"/>
      <w:r>
        <w:rPr>
          <w:color w:val="000000"/>
          <w:sz w:val="18"/>
          <w:szCs w:val="18"/>
        </w:rPr>
        <w:t>adults;</w:t>
      </w:r>
      <w:proofErr w:type="gramEnd"/>
    </w:p>
    <w:p w14:paraId="496FF9E2"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(iv) Ambulatory care for Supplemental Security Income (SSI) </w:t>
      </w:r>
      <w:proofErr w:type="gramStart"/>
      <w:r>
        <w:rPr>
          <w:color w:val="000000"/>
          <w:sz w:val="18"/>
          <w:szCs w:val="18"/>
        </w:rPr>
        <w:t>children;</w:t>
      </w:r>
      <w:proofErr w:type="gramEnd"/>
    </w:p>
    <w:p w14:paraId="67D22F26"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(v) Breast cancer </w:t>
      </w:r>
      <w:proofErr w:type="gramStart"/>
      <w:r>
        <w:rPr>
          <w:color w:val="000000"/>
          <w:sz w:val="18"/>
          <w:szCs w:val="18"/>
        </w:rPr>
        <w:t>screening;</w:t>
      </w:r>
      <w:proofErr w:type="gramEnd"/>
    </w:p>
    <w:p w14:paraId="0567B773"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(vi) Childhood immunizations — Combo </w:t>
      </w:r>
      <w:proofErr w:type="gramStart"/>
      <w:r>
        <w:rPr>
          <w:color w:val="000000"/>
          <w:sz w:val="18"/>
          <w:szCs w:val="18"/>
        </w:rPr>
        <w:t>3;</w:t>
      </w:r>
      <w:proofErr w:type="gramEnd"/>
    </w:p>
    <w:p w14:paraId="76F566CE"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(vii) Comprehensive diabetes care — HbA1c </w:t>
      </w:r>
      <w:proofErr w:type="gramStart"/>
      <w:r>
        <w:rPr>
          <w:color w:val="000000"/>
          <w:sz w:val="18"/>
          <w:szCs w:val="18"/>
        </w:rPr>
        <w:t>testing;</w:t>
      </w:r>
      <w:proofErr w:type="gramEnd"/>
    </w:p>
    <w:p w14:paraId="3F75D73C"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(viii) Controlling high blood </w:t>
      </w:r>
      <w:proofErr w:type="gramStart"/>
      <w:r>
        <w:rPr>
          <w:color w:val="000000"/>
          <w:sz w:val="18"/>
          <w:szCs w:val="18"/>
        </w:rPr>
        <w:t>pressure;</w:t>
      </w:r>
      <w:proofErr w:type="gramEnd"/>
    </w:p>
    <w:p w14:paraId="26CEEFF1"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(ix) Immunization for </w:t>
      </w:r>
      <w:proofErr w:type="gramStart"/>
      <w:r>
        <w:rPr>
          <w:color w:val="000000"/>
          <w:sz w:val="18"/>
          <w:szCs w:val="18"/>
        </w:rPr>
        <w:t>adolescents;</w:t>
      </w:r>
      <w:proofErr w:type="gramEnd"/>
    </w:p>
    <w:p w14:paraId="6BD7AD8A"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(x) Lead screening for children 12—23 months </w:t>
      </w:r>
      <w:proofErr w:type="gramStart"/>
      <w:r>
        <w:rPr>
          <w:color w:val="000000"/>
          <w:sz w:val="18"/>
          <w:szCs w:val="18"/>
        </w:rPr>
        <w:t>old;</w:t>
      </w:r>
      <w:proofErr w:type="gramEnd"/>
    </w:p>
    <w:p w14:paraId="4C2981CA"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(xi) Medication management for people with asthma — 75 percent </w:t>
      </w:r>
      <w:proofErr w:type="gramStart"/>
      <w:r>
        <w:rPr>
          <w:color w:val="000000"/>
          <w:sz w:val="18"/>
          <w:szCs w:val="18"/>
        </w:rPr>
        <w:t>grouping;</w:t>
      </w:r>
      <w:proofErr w:type="gramEnd"/>
    </w:p>
    <w:p w14:paraId="6F65098E"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(xii) Postpartum care; and</w:t>
      </w:r>
    </w:p>
    <w:p w14:paraId="122C915D"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lastRenderedPageBreak/>
        <w:t>(xiii) Well child visits, 3—6 years old;</w:t>
      </w:r>
      <w:r>
        <w:rPr>
          <w:b/>
          <w:bCs/>
          <w:color w:val="000000"/>
          <w:sz w:val="18"/>
          <w:szCs w:val="18"/>
        </w:rPr>
        <w:t>]</w:t>
      </w:r>
    </w:p>
    <w:p w14:paraId="52D14B2A" w14:textId="77777777" w:rsidR="00680942" w:rsidRDefault="00680942" w:rsidP="00680942">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(e)</w:t>
      </w:r>
      <w:r>
        <w:rPr>
          <w:b/>
          <w:bCs/>
          <w:color w:val="000000"/>
          <w:sz w:val="18"/>
          <w:szCs w:val="18"/>
        </w:rPr>
        <w:t>] </w:t>
      </w:r>
      <w:r>
        <w:rPr>
          <w:i/>
          <w:iCs/>
          <w:color w:val="000000"/>
          <w:sz w:val="18"/>
          <w:szCs w:val="18"/>
        </w:rPr>
        <w:t>(d</w:t>
      </w:r>
      <w:r>
        <w:rPr>
          <w:color w:val="000000"/>
          <w:sz w:val="18"/>
          <w:szCs w:val="18"/>
        </w:rPr>
        <w:t>)—</w:t>
      </w:r>
      <w:r>
        <w:rPr>
          <w:b/>
          <w:bCs/>
          <w:color w:val="000000"/>
          <w:sz w:val="18"/>
          <w:szCs w:val="18"/>
        </w:rPr>
        <w:t>[</w:t>
      </w:r>
      <w:r>
        <w:rPr>
          <w:color w:val="000000"/>
          <w:sz w:val="18"/>
          <w:szCs w:val="18"/>
        </w:rPr>
        <w:t>(f)</w:t>
      </w:r>
      <w:r>
        <w:rPr>
          <w:b/>
          <w:bCs/>
          <w:color w:val="000000"/>
          <w:sz w:val="18"/>
          <w:szCs w:val="18"/>
        </w:rPr>
        <w:t>] </w:t>
      </w:r>
      <w:r>
        <w:rPr>
          <w:i/>
          <w:iCs/>
          <w:color w:val="000000"/>
          <w:sz w:val="18"/>
          <w:szCs w:val="18"/>
        </w:rPr>
        <w:t>(e) </w:t>
      </w:r>
      <w:r>
        <w:rPr>
          <w:color w:val="000000"/>
          <w:sz w:val="18"/>
          <w:szCs w:val="18"/>
        </w:rPr>
        <w:t>(text unchanged)</w:t>
      </w:r>
    </w:p>
    <w:p w14:paraId="423D74CE" w14:textId="77777777" w:rsidR="00680942" w:rsidRDefault="00680942" w:rsidP="00680942">
      <w:pPr>
        <w:pStyle w:val="p3"/>
        <w:spacing w:before="0" w:beforeAutospacing="0" w:after="0" w:afterAutospacing="0"/>
        <w:ind w:firstLine="648"/>
        <w:jc w:val="both"/>
        <w:rPr>
          <w:color w:val="000000"/>
          <w:sz w:val="18"/>
          <w:szCs w:val="18"/>
        </w:rPr>
      </w:pPr>
      <w:r>
        <w:rPr>
          <w:i/>
          <w:iCs/>
          <w:color w:val="000000"/>
          <w:sz w:val="18"/>
          <w:szCs w:val="18"/>
        </w:rPr>
        <w:t>(f) Effective January 1, 2021, the core performance measures are:</w:t>
      </w:r>
    </w:p>
    <w:p w14:paraId="4AB6E7EA"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xml:space="preserve">) Adolescent well care </w:t>
      </w:r>
      <w:proofErr w:type="gramStart"/>
      <w:r>
        <w:rPr>
          <w:i/>
          <w:iCs/>
          <w:color w:val="000000"/>
          <w:sz w:val="18"/>
          <w:szCs w:val="18"/>
        </w:rPr>
        <w:t>visits;</w:t>
      </w:r>
      <w:proofErr w:type="gramEnd"/>
    </w:p>
    <w:p w14:paraId="65EBD71E"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(ii) Ambulatory care for SSI </w:t>
      </w:r>
      <w:proofErr w:type="gramStart"/>
      <w:r>
        <w:rPr>
          <w:i/>
          <w:iCs/>
          <w:color w:val="000000"/>
          <w:sz w:val="18"/>
          <w:szCs w:val="18"/>
        </w:rPr>
        <w:t>adults;</w:t>
      </w:r>
      <w:proofErr w:type="gramEnd"/>
    </w:p>
    <w:p w14:paraId="23A8954F"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(iii) Ambulatory care for SSI </w:t>
      </w:r>
      <w:proofErr w:type="gramStart"/>
      <w:r>
        <w:rPr>
          <w:i/>
          <w:iCs/>
          <w:color w:val="000000"/>
          <w:sz w:val="18"/>
          <w:szCs w:val="18"/>
        </w:rPr>
        <w:t>children;</w:t>
      </w:r>
      <w:proofErr w:type="gramEnd"/>
    </w:p>
    <w:p w14:paraId="1574B166"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(iv) Asthma medication </w:t>
      </w:r>
      <w:proofErr w:type="gramStart"/>
      <w:r>
        <w:rPr>
          <w:i/>
          <w:iCs/>
          <w:color w:val="000000"/>
          <w:sz w:val="18"/>
          <w:szCs w:val="18"/>
        </w:rPr>
        <w:t>ratio;</w:t>
      </w:r>
      <w:proofErr w:type="gramEnd"/>
    </w:p>
    <w:p w14:paraId="38C64449"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 Breast cancer </w:t>
      </w:r>
      <w:proofErr w:type="gramStart"/>
      <w:r>
        <w:rPr>
          <w:i/>
          <w:iCs/>
          <w:color w:val="000000"/>
          <w:sz w:val="18"/>
          <w:szCs w:val="18"/>
        </w:rPr>
        <w:t>screening;</w:t>
      </w:r>
      <w:proofErr w:type="gramEnd"/>
    </w:p>
    <w:p w14:paraId="29368122"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(vi) Comprehensive diabetes care — HbA1c control (&lt;8.0%</w:t>
      </w:r>
      <w:proofErr w:type="gramStart"/>
      <w:r>
        <w:rPr>
          <w:i/>
          <w:iCs/>
          <w:color w:val="000000"/>
          <w:sz w:val="18"/>
          <w:szCs w:val="18"/>
        </w:rPr>
        <w:t>);</w:t>
      </w:r>
      <w:proofErr w:type="gramEnd"/>
    </w:p>
    <w:p w14:paraId="2B04BC4F"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(vii) Controlling high blood </w:t>
      </w:r>
      <w:proofErr w:type="gramStart"/>
      <w:r>
        <w:rPr>
          <w:i/>
          <w:iCs/>
          <w:color w:val="000000"/>
          <w:sz w:val="18"/>
          <w:szCs w:val="18"/>
        </w:rPr>
        <w:t>pressure;</w:t>
      </w:r>
      <w:proofErr w:type="gramEnd"/>
    </w:p>
    <w:p w14:paraId="6FB8FD0F"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(viii) Lead screening for children 12 through 23 months </w:t>
      </w:r>
      <w:proofErr w:type="gramStart"/>
      <w:r>
        <w:rPr>
          <w:i/>
          <w:iCs/>
          <w:color w:val="000000"/>
          <w:sz w:val="18"/>
          <w:szCs w:val="18"/>
        </w:rPr>
        <w:t>old;</w:t>
      </w:r>
      <w:proofErr w:type="gramEnd"/>
    </w:p>
    <w:p w14:paraId="26D12AE7"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(ix) Postpartum care; and</w:t>
      </w:r>
    </w:p>
    <w:p w14:paraId="41679C89"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(x) Well child visits in the first 15 months of </w:t>
      </w:r>
      <w:proofErr w:type="gramStart"/>
      <w:r>
        <w:rPr>
          <w:i/>
          <w:iCs/>
          <w:color w:val="000000"/>
          <w:sz w:val="18"/>
          <w:szCs w:val="18"/>
        </w:rPr>
        <w:t>life;</w:t>
      </w:r>
      <w:proofErr w:type="gramEnd"/>
    </w:p>
    <w:p w14:paraId="3EED0B96" w14:textId="77777777" w:rsidR="00680942" w:rsidRDefault="00680942" w:rsidP="00680942">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(g) Starting with the 2014 performance measures, the Department shall implement the following methodology for imposing penalties and incentives: </w:t>
      </w:r>
    </w:p>
    <w:p w14:paraId="26E24ED6"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xml:space="preserve">) There shall be three levels of </w:t>
      </w:r>
      <w:proofErr w:type="gramStart"/>
      <w:r>
        <w:rPr>
          <w:color w:val="000000"/>
          <w:sz w:val="18"/>
          <w:szCs w:val="18"/>
        </w:rPr>
        <w:t>performance;</w:t>
      </w:r>
      <w:proofErr w:type="gramEnd"/>
    </w:p>
    <w:p w14:paraId="52F73D4F"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(ii) Performance shall be evaluated separately for each measure, and each measure shall have equal </w:t>
      </w:r>
      <w:proofErr w:type="gramStart"/>
      <w:r>
        <w:rPr>
          <w:color w:val="000000"/>
          <w:sz w:val="18"/>
          <w:szCs w:val="18"/>
        </w:rPr>
        <w:t>weight;</w:t>
      </w:r>
      <w:proofErr w:type="gramEnd"/>
    </w:p>
    <w:p w14:paraId="71F7EA2B"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(iii) On any of the measures in §B(3)(d)(</w:t>
      </w:r>
      <w:proofErr w:type="spellStart"/>
      <w:r>
        <w:rPr>
          <w:color w:val="000000"/>
          <w:sz w:val="18"/>
          <w:szCs w:val="18"/>
        </w:rPr>
        <w:t>i</w:t>
      </w:r>
      <w:proofErr w:type="spellEnd"/>
      <w:r>
        <w:rPr>
          <w:color w:val="000000"/>
          <w:sz w:val="18"/>
          <w:szCs w:val="18"/>
        </w:rPr>
        <w:t>)—(xiii) of this regulation for which the MCO does not meet the minimum target, as determined by the Department, a penalty of 1/13 of 1 percent of the total capitation amount paid to the MCO during the measurement year shall be collected;</w:t>
      </w:r>
    </w:p>
    <w:p w14:paraId="4EDF7818"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 xml:space="preserve">(iv) The total amount of the penalties as described in §B(3)(g)(iii) of this regulation may not exceed 1 percent of the total capitation amount paid to the MCO during the same measurement </w:t>
      </w:r>
      <w:proofErr w:type="gramStart"/>
      <w:r>
        <w:rPr>
          <w:color w:val="000000"/>
          <w:sz w:val="18"/>
          <w:szCs w:val="18"/>
        </w:rPr>
        <w:t>year;</w:t>
      </w:r>
      <w:proofErr w:type="gramEnd"/>
    </w:p>
    <w:p w14:paraId="6E0F0FF3"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(v) On any of the measures in §B(3)(d) of this regulation for which the MCO meets or exceeds the incentive target, as determined by the Department, the MCO shall be paid an incentive payment of up to 1/13 of 1 percent of the total capitation paid to the MCO during that measurement year;</w:t>
      </w:r>
    </w:p>
    <w:p w14:paraId="52E3D84F"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(vi) The total amount of the incentive payments as described in §B(3)(g)(v) of this regulation paid to the MCOs each year may not exceed the total amount of the penalties as described in §B(3)(g)(iii) of this regulation collected from the MCOs in that same year, plus any additional funds allocated to the Department for a quality initiative; and</w:t>
      </w:r>
    </w:p>
    <w:p w14:paraId="09EE326F"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(vii) Any funds remaining after the payment of the incentives due under §B(3)(g)(v) of this regulation shall be distributed to the MCOs receiving the four highest normalized scores for Value Based Purchasing for all thirteen performance measures at a rate calculated by multiplying each MCO’s adjusted enrollment as of December 31 of the measurement year by a per enrollee amount;</w:t>
      </w:r>
      <w:r>
        <w:rPr>
          <w:b/>
          <w:bCs/>
          <w:color w:val="000000"/>
          <w:sz w:val="18"/>
          <w:szCs w:val="18"/>
        </w:rPr>
        <w:t>]</w:t>
      </w:r>
    </w:p>
    <w:p w14:paraId="121176BD" w14:textId="77777777" w:rsidR="00680942" w:rsidRDefault="00680942" w:rsidP="00680942">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(h)</w:t>
      </w:r>
      <w:r>
        <w:rPr>
          <w:b/>
          <w:bCs/>
          <w:color w:val="000000"/>
          <w:sz w:val="18"/>
          <w:szCs w:val="18"/>
        </w:rPr>
        <w:t>] </w:t>
      </w:r>
      <w:r>
        <w:rPr>
          <w:i/>
          <w:iCs/>
          <w:color w:val="000000"/>
          <w:sz w:val="18"/>
          <w:szCs w:val="18"/>
        </w:rPr>
        <w:t>(g) </w:t>
      </w:r>
      <w:r>
        <w:rPr>
          <w:color w:val="000000"/>
          <w:sz w:val="18"/>
          <w:szCs w:val="18"/>
        </w:rPr>
        <w:t>(text unchanged)</w:t>
      </w:r>
    </w:p>
    <w:p w14:paraId="4304DCCB" w14:textId="77777777" w:rsidR="00680942" w:rsidRDefault="00680942" w:rsidP="00680942">
      <w:pPr>
        <w:pStyle w:val="p3"/>
        <w:spacing w:before="0" w:beforeAutospacing="0" w:after="0" w:afterAutospacing="0"/>
        <w:ind w:firstLine="648"/>
        <w:jc w:val="both"/>
        <w:rPr>
          <w:color w:val="000000"/>
          <w:sz w:val="18"/>
          <w:szCs w:val="18"/>
        </w:rPr>
      </w:pPr>
      <w:r>
        <w:rPr>
          <w:i/>
          <w:iCs/>
          <w:color w:val="000000"/>
          <w:sz w:val="18"/>
          <w:szCs w:val="18"/>
        </w:rPr>
        <w:t>(h) Starting with the 2021 performance measures, the Department shall implement the following methodology for imposing penalties and incentives:</w:t>
      </w:r>
    </w:p>
    <w:p w14:paraId="2C973110"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xml:space="preserve">) There shall be three levels of </w:t>
      </w:r>
      <w:proofErr w:type="gramStart"/>
      <w:r>
        <w:rPr>
          <w:i/>
          <w:iCs/>
          <w:color w:val="000000"/>
          <w:sz w:val="18"/>
          <w:szCs w:val="18"/>
        </w:rPr>
        <w:t>performance;</w:t>
      </w:r>
      <w:proofErr w:type="gramEnd"/>
    </w:p>
    <w:p w14:paraId="3F41FA12"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(ii) Performance shall be evaluated separately for each measure, and each measure shall have equal </w:t>
      </w:r>
      <w:proofErr w:type="gramStart"/>
      <w:r>
        <w:rPr>
          <w:i/>
          <w:iCs/>
          <w:color w:val="000000"/>
          <w:sz w:val="18"/>
          <w:szCs w:val="18"/>
        </w:rPr>
        <w:t>weight;</w:t>
      </w:r>
      <w:proofErr w:type="gramEnd"/>
    </w:p>
    <w:p w14:paraId="61235469"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(iii) On any of the measures in §B(3)(f) of this regulation for which the MCO does not meet the minimum target, as determined by the Department, a penalty of 1/10 of 1 percent of the total capitation amount paid to the MCO during the measurement year shall be collected if the conditions in §B(3)(h)(iv) of this regulation do not apply;</w:t>
      </w:r>
    </w:p>
    <w:p w14:paraId="236A321D"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(iv) If the Department’s actuary determines that the MCO’s total capitation amount for the measurement year does not meet the actuarial soundness definition described in 42 CFR §438.4 after collection of the total penalty amount described in §B(3)(h)(iii) of this regulation, the Department’s actuary shall calculate the maximum penalty the Department shall apply that results in the MCO’s total capitation for the measurement year remaining actuarially sound;</w:t>
      </w:r>
    </w:p>
    <w:p w14:paraId="3C114094"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 If the MCO’s penalty amount is reduced as described in §B(3)(h)(iv) of this regulation, the Department may impose any of the additional sanctions described in COMAR </w:t>
      </w:r>
      <w:proofErr w:type="gramStart"/>
      <w:r>
        <w:rPr>
          <w:i/>
          <w:iCs/>
          <w:color w:val="000000"/>
          <w:sz w:val="18"/>
          <w:szCs w:val="18"/>
        </w:rPr>
        <w:t>10.67.10;</w:t>
      </w:r>
      <w:proofErr w:type="gramEnd"/>
    </w:p>
    <w:p w14:paraId="7CE73086"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(vi) The total amount of the penalties as described in §B(3)(h)(iii) of this regulation may not exceed 1 percent of the total capitation amount paid to the MCO during the same measurement </w:t>
      </w:r>
      <w:proofErr w:type="gramStart"/>
      <w:r>
        <w:rPr>
          <w:i/>
          <w:iCs/>
          <w:color w:val="000000"/>
          <w:sz w:val="18"/>
          <w:szCs w:val="18"/>
        </w:rPr>
        <w:t>year;</w:t>
      </w:r>
      <w:proofErr w:type="gramEnd"/>
    </w:p>
    <w:p w14:paraId="4C3D7ED0"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(vii) On any of the measures in §B(3)(f) of this regulation for which the MCO meets or exceeds the incentive target, as determined by the Department, the MCO shall be paid an incentive payment of up to 1/10 of 1 percent of the total capitation paid to the MCO during that measurement year;</w:t>
      </w:r>
    </w:p>
    <w:p w14:paraId="6E36CE65"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(viii) The total amount of the incentive payments as described in §B(3)(h)(vii) of this regulation shall be paid to the MCOs with total amount of the penalties as described in §B(3)(h)(iii) of this regulation collected from the MCOs in that same year, plus additional reserves in the </w:t>
      </w:r>
      <w:proofErr w:type="spellStart"/>
      <w:r>
        <w:rPr>
          <w:i/>
          <w:iCs/>
          <w:color w:val="000000"/>
          <w:sz w:val="18"/>
          <w:szCs w:val="18"/>
        </w:rPr>
        <w:t>HealthChoice</w:t>
      </w:r>
      <w:proofErr w:type="spellEnd"/>
      <w:r>
        <w:rPr>
          <w:i/>
          <w:iCs/>
          <w:color w:val="000000"/>
          <w:sz w:val="18"/>
          <w:szCs w:val="18"/>
        </w:rPr>
        <w:t xml:space="preserve"> Performance Incentive Fund if the total amount of the penalties collected is insufficient to pay the total amount of the incentive payments;</w:t>
      </w:r>
    </w:p>
    <w:p w14:paraId="4798FAEB"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(ix) 40 percent of any funds remaining after the payment of the incentives due under §B(3)(h)(vii) of this regulation shall be distributed to the MCOs earning net incentives with the four highest normalized scores, at a rate calculated by multiplying each MCO’s adjusted enrollment as of December 31 of the measurement year by a per-enrollee amount;</w:t>
      </w:r>
    </w:p>
    <w:p w14:paraId="52DED785"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(x) MCOs earning net disincentives are ineligible to receive the funds described in §B(3)(h)(ix) of this </w:t>
      </w:r>
      <w:proofErr w:type="gramStart"/>
      <w:r>
        <w:rPr>
          <w:i/>
          <w:iCs/>
          <w:color w:val="000000"/>
          <w:sz w:val="18"/>
          <w:szCs w:val="18"/>
        </w:rPr>
        <w:t>regulation;</w:t>
      </w:r>
      <w:proofErr w:type="gramEnd"/>
    </w:p>
    <w:p w14:paraId="49FEF477"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(xi) 25 percent of any funds remaining after the payment of the incentives due under §B(3)(h)(vii) of this regulation shall be distributed to the MCOs that the Department determines have demonstrated performance improvement in the measurement year, provided that the MCOs use the funding to target performance improvement in areas defined by the Department;</w:t>
      </w:r>
    </w:p>
    <w:p w14:paraId="54F54954"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lastRenderedPageBreak/>
        <w:t xml:space="preserve">(xii) 25 percent of any funds remaining after the payment of the incentives due under §B(3)(h)(vii) of this regulation shall be retained for health improvement programs under the Maryland Medicaid Managed Care </w:t>
      </w:r>
      <w:proofErr w:type="gramStart"/>
      <w:r>
        <w:rPr>
          <w:i/>
          <w:iCs/>
          <w:color w:val="000000"/>
          <w:sz w:val="18"/>
          <w:szCs w:val="18"/>
        </w:rPr>
        <w:t>Program;</w:t>
      </w:r>
      <w:proofErr w:type="gramEnd"/>
    </w:p>
    <w:p w14:paraId="610AFC06"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(xiii) 10 percent of any funds remaining after the payment of the incentives due under §B(3)(h)(vii) of this regulation shall be used to establish a reserve in the </w:t>
      </w:r>
      <w:proofErr w:type="spellStart"/>
      <w:r>
        <w:rPr>
          <w:i/>
          <w:iCs/>
          <w:color w:val="000000"/>
          <w:sz w:val="18"/>
          <w:szCs w:val="18"/>
        </w:rPr>
        <w:t>HealthChoice</w:t>
      </w:r>
      <w:proofErr w:type="spellEnd"/>
      <w:r>
        <w:rPr>
          <w:i/>
          <w:iCs/>
          <w:color w:val="000000"/>
          <w:sz w:val="18"/>
          <w:szCs w:val="18"/>
        </w:rPr>
        <w:t xml:space="preserve"> Performance Incentive Fund, to be used in any calendar year when the amount of penalties collected is insufficient to pay incentives earned by MCOs; and</w:t>
      </w:r>
    </w:p>
    <w:p w14:paraId="7D734A38" w14:textId="77777777" w:rsidR="00680942" w:rsidRDefault="00680942" w:rsidP="00680942">
      <w:pPr>
        <w:pStyle w:val="p4"/>
        <w:spacing w:before="0" w:beforeAutospacing="0" w:after="0" w:afterAutospacing="0"/>
        <w:ind w:firstLine="864"/>
        <w:jc w:val="both"/>
        <w:rPr>
          <w:color w:val="000000"/>
          <w:sz w:val="18"/>
          <w:szCs w:val="18"/>
        </w:rPr>
      </w:pPr>
      <w:r>
        <w:rPr>
          <w:i/>
          <w:iCs/>
          <w:color w:val="000000"/>
          <w:sz w:val="18"/>
          <w:szCs w:val="18"/>
        </w:rPr>
        <w:t xml:space="preserve">(xiv) If the amount in the </w:t>
      </w:r>
      <w:proofErr w:type="spellStart"/>
      <w:r>
        <w:rPr>
          <w:i/>
          <w:iCs/>
          <w:color w:val="000000"/>
          <w:sz w:val="18"/>
          <w:szCs w:val="18"/>
        </w:rPr>
        <w:t>HealthChoice</w:t>
      </w:r>
      <w:proofErr w:type="spellEnd"/>
      <w:r>
        <w:rPr>
          <w:i/>
          <w:iCs/>
          <w:color w:val="000000"/>
          <w:sz w:val="18"/>
          <w:szCs w:val="18"/>
        </w:rPr>
        <w:t xml:space="preserve"> Performance Incentive Fund exceeds $5,000,000, the Department shall equally allocate the remaining 10 percent of funds for use in items B(3)(h)(ix) —(xii</w:t>
      </w:r>
      <w:proofErr w:type="gramStart"/>
      <w:r>
        <w:rPr>
          <w:i/>
          <w:iCs/>
          <w:color w:val="000000"/>
          <w:sz w:val="18"/>
          <w:szCs w:val="18"/>
        </w:rPr>
        <w:t>);</w:t>
      </w:r>
      <w:proofErr w:type="gramEnd"/>
    </w:p>
    <w:p w14:paraId="4AF33097" w14:textId="77777777" w:rsidR="00680942" w:rsidRDefault="00680942" w:rsidP="00680942">
      <w:pPr>
        <w:pStyle w:val="p3"/>
        <w:spacing w:before="0" w:beforeAutospacing="0" w:after="0" w:afterAutospacing="0"/>
        <w:ind w:firstLine="648"/>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The adjusted enrollment amount in §§B(3)(g)(vii) and </w:t>
      </w:r>
      <w:r>
        <w:rPr>
          <w:b/>
          <w:bCs/>
          <w:color w:val="000000"/>
          <w:sz w:val="18"/>
          <w:szCs w:val="18"/>
        </w:rPr>
        <w:t>[</w:t>
      </w:r>
      <w:r>
        <w:rPr>
          <w:color w:val="000000"/>
          <w:sz w:val="18"/>
          <w:szCs w:val="18"/>
        </w:rPr>
        <w:t>B(3)(h)(vii)</w:t>
      </w:r>
      <w:r>
        <w:rPr>
          <w:b/>
          <w:bCs/>
          <w:color w:val="000000"/>
          <w:sz w:val="18"/>
          <w:szCs w:val="18"/>
        </w:rPr>
        <w:t>]</w:t>
      </w:r>
      <w:r>
        <w:rPr>
          <w:color w:val="000000"/>
          <w:sz w:val="18"/>
          <w:szCs w:val="18"/>
        </w:rPr>
        <w:t> </w:t>
      </w:r>
      <w:r>
        <w:rPr>
          <w:i/>
          <w:iCs/>
          <w:color w:val="000000"/>
          <w:sz w:val="18"/>
          <w:szCs w:val="18"/>
        </w:rPr>
        <w:t>B(3)(h)(ix)</w:t>
      </w:r>
      <w:r>
        <w:rPr>
          <w:color w:val="000000"/>
          <w:sz w:val="18"/>
          <w:szCs w:val="18"/>
        </w:rPr>
        <w:t> of this regulation shall be calculated by:</w:t>
      </w:r>
    </w:p>
    <w:p w14:paraId="6E9C0092"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)—(iii) (text unchanged)</w:t>
      </w:r>
    </w:p>
    <w:p w14:paraId="71CEDA92" w14:textId="77777777" w:rsidR="00680942" w:rsidRDefault="00680942" w:rsidP="00680942">
      <w:pPr>
        <w:pStyle w:val="p4"/>
        <w:spacing w:before="0" w:beforeAutospacing="0" w:after="0" w:afterAutospacing="0"/>
        <w:ind w:firstLine="864"/>
        <w:jc w:val="both"/>
        <w:rPr>
          <w:color w:val="000000"/>
          <w:sz w:val="18"/>
          <w:szCs w:val="18"/>
        </w:rPr>
      </w:pPr>
      <w:r>
        <w:rPr>
          <w:color w:val="000000"/>
          <w:sz w:val="18"/>
          <w:szCs w:val="18"/>
        </w:rPr>
        <w:t>(iv) Using the actual enrollment of the MCO with the fourth highest normalized score; </w:t>
      </w:r>
      <w:r>
        <w:rPr>
          <w:i/>
          <w:iCs/>
          <w:color w:val="000000"/>
          <w:sz w:val="18"/>
          <w:szCs w:val="18"/>
        </w:rPr>
        <w:t>and</w:t>
      </w:r>
    </w:p>
    <w:p w14:paraId="27A404DB" w14:textId="77777777" w:rsidR="00680942" w:rsidRDefault="00680942" w:rsidP="00680942">
      <w:pPr>
        <w:pStyle w:val="p3"/>
        <w:spacing w:before="0" w:beforeAutospacing="0" w:after="0" w:afterAutospacing="0"/>
        <w:ind w:firstLine="648"/>
        <w:jc w:val="both"/>
        <w:rPr>
          <w:color w:val="000000"/>
          <w:sz w:val="18"/>
          <w:szCs w:val="18"/>
        </w:rPr>
      </w:pPr>
      <w:r>
        <w:rPr>
          <w:color w:val="000000"/>
          <w:sz w:val="18"/>
          <w:szCs w:val="18"/>
        </w:rPr>
        <w:t>(j) The per enrollee amount in §§B(3)(g)(vii) and </w:t>
      </w:r>
      <w:r>
        <w:rPr>
          <w:b/>
          <w:bCs/>
          <w:color w:val="000000"/>
          <w:sz w:val="18"/>
          <w:szCs w:val="18"/>
        </w:rPr>
        <w:t>[</w:t>
      </w:r>
      <w:r>
        <w:rPr>
          <w:color w:val="000000"/>
          <w:sz w:val="18"/>
          <w:szCs w:val="18"/>
        </w:rPr>
        <w:t>B(3)(h)(vii)</w:t>
      </w:r>
      <w:r>
        <w:rPr>
          <w:b/>
          <w:bCs/>
          <w:color w:val="000000"/>
          <w:sz w:val="18"/>
          <w:szCs w:val="18"/>
        </w:rPr>
        <w:t>] </w:t>
      </w:r>
      <w:r>
        <w:rPr>
          <w:i/>
          <w:iCs/>
          <w:color w:val="000000"/>
          <w:sz w:val="18"/>
          <w:szCs w:val="18"/>
        </w:rPr>
        <w:t>B(3)(h)(ix)</w:t>
      </w:r>
      <w:r>
        <w:rPr>
          <w:color w:val="000000"/>
          <w:sz w:val="18"/>
          <w:szCs w:val="18"/>
        </w:rPr>
        <w:t> of this regulation shall be calculated by dividing the sum of the calculations in </w:t>
      </w:r>
      <w:r>
        <w:rPr>
          <w:b/>
          <w:bCs/>
          <w:color w:val="000000"/>
          <w:sz w:val="18"/>
          <w:szCs w:val="18"/>
        </w:rPr>
        <w:t>[</w:t>
      </w:r>
      <w:r>
        <w:rPr>
          <w:color w:val="000000"/>
          <w:sz w:val="18"/>
          <w:szCs w:val="18"/>
        </w:rPr>
        <w:t>§§B(3)(g)(</w:t>
      </w:r>
      <w:proofErr w:type="spellStart"/>
      <w:r>
        <w:rPr>
          <w:color w:val="000000"/>
          <w:sz w:val="18"/>
          <w:szCs w:val="18"/>
        </w:rPr>
        <w:t>i</w:t>
      </w:r>
      <w:proofErr w:type="spellEnd"/>
      <w:r>
        <w:rPr>
          <w:color w:val="000000"/>
          <w:sz w:val="18"/>
          <w:szCs w:val="18"/>
        </w:rPr>
        <w:t>)—(iv) and B(3)(h)(</w:t>
      </w:r>
      <w:proofErr w:type="spellStart"/>
      <w:r>
        <w:rPr>
          <w:color w:val="000000"/>
          <w:sz w:val="18"/>
          <w:szCs w:val="18"/>
        </w:rPr>
        <w:t>i</w:t>
      </w:r>
      <w:proofErr w:type="spellEnd"/>
      <w:r>
        <w:rPr>
          <w:color w:val="000000"/>
          <w:sz w:val="18"/>
          <w:szCs w:val="18"/>
        </w:rPr>
        <w:t>)—(iv)</w:t>
      </w:r>
      <w:r>
        <w:rPr>
          <w:b/>
          <w:bCs/>
          <w:color w:val="000000"/>
          <w:sz w:val="18"/>
          <w:szCs w:val="18"/>
        </w:rPr>
        <w:t>] </w:t>
      </w:r>
      <w:r>
        <w:rPr>
          <w:i/>
          <w:iCs/>
          <w:color w:val="000000"/>
          <w:sz w:val="18"/>
          <w:szCs w:val="18"/>
        </w:rPr>
        <w:t>§B(3)(</w:t>
      </w:r>
      <w:proofErr w:type="spellStart"/>
      <w:r>
        <w:rPr>
          <w:i/>
          <w:iCs/>
          <w:color w:val="000000"/>
          <w:sz w:val="18"/>
          <w:szCs w:val="18"/>
        </w:rPr>
        <w:t>i</w:t>
      </w:r>
      <w:proofErr w:type="spellEnd"/>
      <w:r>
        <w:rPr>
          <w:i/>
          <w:iCs/>
          <w:color w:val="000000"/>
          <w:sz w:val="18"/>
          <w:szCs w:val="18"/>
        </w:rPr>
        <w:t>)(</w:t>
      </w:r>
      <w:proofErr w:type="spellStart"/>
      <w:r>
        <w:rPr>
          <w:i/>
          <w:iCs/>
          <w:color w:val="000000"/>
          <w:sz w:val="18"/>
          <w:szCs w:val="18"/>
        </w:rPr>
        <w:t>i</w:t>
      </w:r>
      <w:proofErr w:type="spellEnd"/>
      <w:r>
        <w:rPr>
          <w:i/>
          <w:iCs/>
          <w:color w:val="000000"/>
          <w:sz w:val="18"/>
          <w:szCs w:val="18"/>
        </w:rPr>
        <w:t>)—(iv)</w:t>
      </w:r>
      <w:r>
        <w:rPr>
          <w:color w:val="000000"/>
          <w:sz w:val="18"/>
          <w:szCs w:val="18"/>
        </w:rPr>
        <w:t> of this regulation into the funds remaining as described in §§B(3)(g)(vii) and </w:t>
      </w:r>
      <w:r>
        <w:rPr>
          <w:b/>
          <w:bCs/>
          <w:color w:val="000000"/>
          <w:sz w:val="18"/>
          <w:szCs w:val="18"/>
        </w:rPr>
        <w:t>[</w:t>
      </w:r>
      <w:r>
        <w:rPr>
          <w:color w:val="000000"/>
          <w:sz w:val="18"/>
          <w:szCs w:val="18"/>
        </w:rPr>
        <w:t>B(3)(h)(vii)</w:t>
      </w:r>
      <w:r>
        <w:rPr>
          <w:b/>
          <w:bCs/>
          <w:color w:val="000000"/>
          <w:sz w:val="18"/>
          <w:szCs w:val="18"/>
        </w:rPr>
        <w:t>]</w:t>
      </w:r>
      <w:r>
        <w:rPr>
          <w:color w:val="000000"/>
          <w:sz w:val="18"/>
          <w:szCs w:val="18"/>
        </w:rPr>
        <w:t> </w:t>
      </w:r>
      <w:r>
        <w:rPr>
          <w:i/>
          <w:iCs/>
          <w:color w:val="000000"/>
          <w:sz w:val="18"/>
          <w:szCs w:val="18"/>
        </w:rPr>
        <w:t>B(3)(h)(ix)</w:t>
      </w:r>
      <w:r>
        <w:rPr>
          <w:color w:val="000000"/>
          <w:sz w:val="18"/>
          <w:szCs w:val="18"/>
        </w:rPr>
        <w:t> of this regulation;</w:t>
      </w:r>
    </w:p>
    <w:p w14:paraId="5A5B1C19" w14:textId="77777777" w:rsidR="00680942" w:rsidRDefault="00680942" w:rsidP="00680942">
      <w:pPr>
        <w:pStyle w:val="p2"/>
        <w:spacing w:before="0" w:beforeAutospacing="0" w:after="0" w:afterAutospacing="0"/>
        <w:ind w:firstLine="432"/>
        <w:jc w:val="both"/>
        <w:rPr>
          <w:color w:val="000000"/>
          <w:sz w:val="18"/>
          <w:szCs w:val="18"/>
        </w:rPr>
      </w:pPr>
      <w:r>
        <w:rPr>
          <w:color w:val="000000"/>
          <w:sz w:val="18"/>
          <w:szCs w:val="18"/>
        </w:rPr>
        <w:t>(4)</w:t>
      </w:r>
      <w:proofErr w:type="gramStart"/>
      <w:r>
        <w:rPr>
          <w:color w:val="000000"/>
          <w:sz w:val="18"/>
          <w:szCs w:val="18"/>
        </w:rPr>
        <w:t>—(</w:t>
      </w:r>
      <w:proofErr w:type="gramEnd"/>
      <w:r>
        <w:rPr>
          <w:color w:val="000000"/>
          <w:sz w:val="18"/>
          <w:szCs w:val="18"/>
        </w:rPr>
        <w:t>7) (text unchanged)</w:t>
      </w:r>
    </w:p>
    <w:p w14:paraId="7451E36A" w14:textId="77777777" w:rsidR="00680942" w:rsidRDefault="00680942" w:rsidP="00680942">
      <w:pPr>
        <w:pStyle w:val="p1"/>
        <w:spacing w:before="0" w:beforeAutospacing="0" w:after="0" w:afterAutospacing="0"/>
        <w:ind w:firstLine="216"/>
        <w:jc w:val="both"/>
        <w:rPr>
          <w:color w:val="000000"/>
          <w:sz w:val="18"/>
          <w:szCs w:val="18"/>
        </w:rPr>
      </w:pPr>
      <w:r>
        <w:rPr>
          <w:color w:val="000000"/>
          <w:sz w:val="18"/>
          <w:szCs w:val="18"/>
        </w:rPr>
        <w:t>C.— D. (text unchanged)</w:t>
      </w:r>
    </w:p>
    <w:p w14:paraId="048E4EC6" w14:textId="77777777" w:rsidR="00680942" w:rsidRDefault="00680942" w:rsidP="00680942">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5B76CDA" w14:textId="77777777" w:rsidR="00680942" w:rsidRDefault="00680942" w:rsidP="00680942"/>
    <w:p w14:paraId="6CE61812"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42"/>
    <w:rsid w:val="00680942"/>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854B"/>
  <w15:chartTrackingRefBased/>
  <w15:docId w15:val="{DB1FBE93-6315-4BBE-BA0C-9EFE3A8E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4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680942"/>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809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2ABAC94-F00F-4702-91A5-1103CDB8E525}"/>
</file>

<file path=customXml/itemProps2.xml><?xml version="1.0" encoding="utf-8"?>
<ds:datastoreItem xmlns:ds="http://schemas.openxmlformats.org/officeDocument/2006/customXml" ds:itemID="{235F3FEE-212D-40BE-974B-C26506AC6F44}"/>
</file>

<file path=customXml/itemProps3.xml><?xml version="1.0" encoding="utf-8"?>
<ds:datastoreItem xmlns:ds="http://schemas.openxmlformats.org/officeDocument/2006/customXml" ds:itemID="{E540A29E-12B5-4FDE-B75A-2F9C87529B2D}"/>
</file>

<file path=customXml/itemProps4.xml><?xml version="1.0" encoding="utf-8"?>
<ds:datastoreItem xmlns:ds="http://schemas.openxmlformats.org/officeDocument/2006/customXml" ds:itemID="{22CFDD7F-73E5-4A12-848B-C2A0FBDA6C5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1</cp:revision>
  <dcterms:created xsi:type="dcterms:W3CDTF">2020-11-06T18:14:00Z</dcterms:created>
  <dcterms:modified xsi:type="dcterms:W3CDTF">2020-11-06T18:19:00Z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4a47ead6-ffc6-432d-a98d-b7fac71f92b3</vt:lpwstr>
  </property>
</Properties>
</file>