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  <w:bookmarkStart w:id="0" w:name="_GoBack"/>
      <w:bookmarkEnd w:id="0"/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956C80" w14:textId="187B7201" w:rsidR="00C54770" w:rsidRDefault="00C54770" w:rsidP="00C54770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C5477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Compliance Guide for New Regulations for Small Businesses</w:t>
      </w:r>
    </w:p>
    <w:p w14:paraId="52D15512" w14:textId="49476A62" w:rsidR="00436807" w:rsidRPr="00E55A42" w:rsidRDefault="00436807" w:rsidP="00436807">
      <w:pPr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COMAR 10.62 Natalie M. LaPrade Medical Cannabis Commission </w:t>
      </w:r>
      <w:r w:rsidR="00E55A42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(MMCC)</w:t>
      </w:r>
    </w:p>
    <w:p w14:paraId="3E3AC72E" w14:textId="68147079" w:rsidR="00C54770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What does this regulation do?</w:t>
      </w:r>
    </w:p>
    <w:p w14:paraId="732BBEAD" w14:textId="77777777" w:rsidR="00E55A42" w:rsidRP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</w:p>
    <w:p w14:paraId="5152F93E" w14:textId="6E3B926E" w:rsidR="00436807" w:rsidRPr="00E55A42" w:rsidRDefault="00436807" w:rsidP="00436807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The purpose of the action is to implement statutory requirements restricting medical cannabis advertising, authorizing academic research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on medical cannabis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, and 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increasing the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number of medical cannabis 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grower and processor 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licenses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the MMCC may issue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. </w:t>
      </w:r>
    </w:p>
    <w:p w14:paraId="45D3C409" w14:textId="77777777" w:rsidR="00E55A42" w:rsidRPr="00E55A42" w:rsidRDefault="00E55A42" w:rsidP="00436807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54657F00" w14:textId="703EE230" w:rsidR="00C54770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Who is Subject to the new regulation?</w:t>
      </w:r>
    </w:p>
    <w:p w14:paraId="377848A5" w14:textId="77777777" w:rsidR="00E55A42" w:rsidRP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</w:p>
    <w:p w14:paraId="7C609CC8" w14:textId="5B68CB90" w:rsidR="00436807" w:rsidRDefault="00436807" w:rsidP="00436807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Medical cannabis licensed growers</w:t>
      </w:r>
      <w:r w:rsid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, processors, and dispensaries; certifying medical cannabis providers; 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and </w:t>
      </w:r>
      <w:r w:rsid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registered academic research institutions.</w:t>
      </w:r>
    </w:p>
    <w:p w14:paraId="52FF8FCD" w14:textId="77777777" w:rsidR="00E55A42" w:rsidRPr="00E55A42" w:rsidRDefault="00E55A42" w:rsidP="00436807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61728513" w14:textId="313C81B7" w:rsidR="00C54770" w:rsidRPr="00E55A42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Why were the new regulations adopted?</w:t>
      </w:r>
    </w:p>
    <w:p w14:paraId="794925F0" w14:textId="06416DF0" w:rsid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17234C82" w14:textId="5BC3AB21" w:rsid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To implement statutory requirements pursuant to Chapter 456 of the Laws of 2019 and Chapter 598 of the Laws of 2018. </w:t>
      </w:r>
    </w:p>
    <w:p w14:paraId="7C88F7A3" w14:textId="77777777" w:rsidR="00E55A42" w:rsidRP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33E82CB5" w14:textId="41C515D8" w:rsidR="00E55A42" w:rsidRPr="00E55A42" w:rsidRDefault="00C54770" w:rsidP="00E55A42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When are the regulations effective?</w:t>
      </w:r>
    </w:p>
    <w:p w14:paraId="40E3DE67" w14:textId="739544B8" w:rsidR="00E55A42" w:rsidRPr="00E55A42" w:rsidRDefault="00A06A0E" w:rsidP="00A06A0E">
      <w:pPr>
        <w:ind w:left="720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The regulation will take effect 10 days after publication of Final Notice in the </w:t>
      </w:r>
      <w:r w:rsidRPr="00A06A0E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Maryland Register.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</w:p>
    <w:p w14:paraId="560917FD" w14:textId="0F96B030" w:rsidR="00C54770" w:rsidRPr="00A06A0E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A06A0E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funding available to implement new requirements established by the regulation?</w:t>
      </w:r>
    </w:p>
    <w:p w14:paraId="22F1E82C" w14:textId="3564A572" w:rsid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712BC880" w14:textId="13C3A0FB" w:rsidR="00E55A42" w:rsidRDefault="00225B96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No. </w:t>
      </w:r>
    </w:p>
    <w:p w14:paraId="1933CE14" w14:textId="77777777" w:rsidR="00E55A42" w:rsidRP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76F1B65A" w14:textId="73758D89" w:rsidR="00C54770" w:rsidRPr="00A06A0E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A06A0E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Are there other resources available for implementing the requirements of the regulation?</w:t>
      </w:r>
    </w:p>
    <w:p w14:paraId="7FC3AA6A" w14:textId="106DA936" w:rsid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5A01241A" w14:textId="0673B416" w:rsid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No. </w:t>
      </w:r>
    </w:p>
    <w:p w14:paraId="1FD07215" w14:textId="77777777" w:rsidR="00E55A42" w:rsidRPr="00E55A42" w:rsidRDefault="00E55A42" w:rsidP="00E55A42">
      <w:pPr>
        <w:pStyle w:val="ListParagraph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6F249A65" w14:textId="1AB54B0D" w:rsidR="00C54770" w:rsidRPr="00A06A0E" w:rsidRDefault="00C54770" w:rsidP="00C54770">
      <w:pPr>
        <w:pStyle w:val="ListParagraph"/>
        <w:numPr>
          <w:ilvl w:val="0"/>
          <w:numId w:val="10"/>
        </w:numPr>
        <w:jc w:val="both"/>
        <w:outlineLvl w:val="0"/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</w:pPr>
      <w:r w:rsidRPr="00A06A0E">
        <w:rPr>
          <w:rFonts w:ascii="Times New Roman" w:eastAsia="Times New Roman" w:hAnsi="Times New Roman" w:cs="Times New Roman"/>
          <w:bCs/>
          <w:i/>
          <w:color w:val="262626" w:themeColor="text1" w:themeTint="D9"/>
          <w:sz w:val="24"/>
          <w:szCs w:val="24"/>
        </w:rPr>
        <w:t>Is there assistance available to help understand the requirements of the regulation?</w:t>
      </w:r>
    </w:p>
    <w:p w14:paraId="380CE6C6" w14:textId="4F690103" w:rsidR="00E55A42" w:rsidRPr="00E55A42" w:rsidRDefault="00E55A42" w:rsidP="00A06A0E">
      <w:pPr>
        <w:ind w:left="720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Yes, the 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MMCC i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s available to explain any changes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to existing requirements, or new requirements, made by this regulation. Questions about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specific provisions of the regulation should be directed to </w:t>
      </w:r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Will Tilburg at (410) 767-8069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r at </w:t>
      </w:r>
      <w:hyperlink r:id="rId14" w:history="1">
        <w:r w:rsidR="00A06A0E" w:rsidRPr="0095038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william.tilburg@maryland.gov</w:t>
        </w:r>
      </w:hyperlink>
      <w:r w:rsid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. </w:t>
      </w:r>
    </w:p>
    <w:p w14:paraId="692D00D0" w14:textId="610FE05C" w:rsidR="00C54770" w:rsidRPr="00E55A42" w:rsidRDefault="00C54770" w:rsidP="00C54770">
      <w:pPr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391F0C65" w14:textId="0A58B685" w:rsidR="00C54770" w:rsidRDefault="00C54770" w:rsidP="00C54770">
      <w:pPr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E55A42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lastRenderedPageBreak/>
        <w:t>Key Terms and Definitions</w:t>
      </w:r>
    </w:p>
    <w:p w14:paraId="66F00B15" w14:textId="1938C904" w:rsidR="00A06A0E" w:rsidRPr="00A06A0E" w:rsidRDefault="00A06A0E" w:rsidP="00A06A0E">
      <w:pPr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  <w:r w:rsidRP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“Academic research institution” means an institution of higher education, a related medical facility, or an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affiliated biomedical research firm that filed a registration with the Commission under Health-General Article, §13-3304.1, Annotated Code of Maryland to purchase medical cannabis for the purpose of conducting a bona fide research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Pr="00A06A0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project.</w:t>
      </w:r>
    </w:p>
    <w:sectPr w:rsidR="00A06A0E" w:rsidRPr="00A06A0E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1116A" w14:textId="77777777" w:rsidR="00DE4F88" w:rsidRDefault="00DE4F88">
      <w:pPr>
        <w:spacing w:after="0" w:line="240" w:lineRule="auto"/>
      </w:pPr>
      <w:r>
        <w:separator/>
      </w:r>
    </w:p>
  </w:endnote>
  <w:endnote w:type="continuationSeparator" w:id="0">
    <w:p w14:paraId="054A135C" w14:textId="77777777" w:rsidR="00DE4F88" w:rsidRDefault="00DE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84F9" w14:textId="77777777" w:rsidR="001E5425" w:rsidRDefault="001E5425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1E5425" w:rsidRDefault="001E5425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56B9" w14:textId="79817B9D" w:rsidR="001E5425" w:rsidRPr="001E5425" w:rsidRDefault="001E5425" w:rsidP="001E5425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1E5425">
      <w:rPr>
        <w:rStyle w:val="PageNumber"/>
        <w:rFonts w:ascii="Times" w:hAnsi="Times"/>
      </w:rPr>
      <w:fldChar w:fldCharType="begin"/>
    </w:r>
    <w:r w:rsidRPr="001E5425">
      <w:rPr>
        <w:rStyle w:val="PageNumber"/>
        <w:rFonts w:ascii="Times" w:hAnsi="Times"/>
      </w:rPr>
      <w:instrText xml:space="preserve">PAGE  </w:instrText>
    </w:r>
    <w:r w:rsidRPr="001E5425">
      <w:rPr>
        <w:rStyle w:val="PageNumber"/>
        <w:rFonts w:ascii="Times" w:hAnsi="Times"/>
      </w:rPr>
      <w:fldChar w:fldCharType="separate"/>
    </w:r>
    <w:r w:rsidR="00225B96">
      <w:rPr>
        <w:rStyle w:val="PageNumber"/>
        <w:rFonts w:ascii="Times" w:hAnsi="Times"/>
        <w:noProof/>
      </w:rPr>
      <w:t>2</w:t>
    </w:r>
    <w:r w:rsidRPr="001E5425">
      <w:rPr>
        <w:rStyle w:val="PageNumber"/>
        <w:rFonts w:ascii="Times" w:hAnsi="Times"/>
      </w:rPr>
      <w:fldChar w:fldCharType="end"/>
    </w:r>
  </w:p>
  <w:p w14:paraId="2C94B9B0" w14:textId="77777777" w:rsidR="001E5425" w:rsidRDefault="001E5425" w:rsidP="001E54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FEC4" w14:textId="77777777" w:rsidR="00C00F70" w:rsidRDefault="00C00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5898" w14:textId="77777777" w:rsidR="00DE4F88" w:rsidRDefault="00DE4F88">
      <w:pPr>
        <w:spacing w:after="0" w:line="240" w:lineRule="auto"/>
      </w:pPr>
      <w:r>
        <w:separator/>
      </w:r>
    </w:p>
  </w:footnote>
  <w:footnote w:type="continuationSeparator" w:id="0">
    <w:p w14:paraId="5A87E890" w14:textId="77777777" w:rsidR="00DE4F88" w:rsidRDefault="00DE4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A9AF" w14:textId="77777777" w:rsidR="00523056" w:rsidRDefault="0052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6A746" w14:textId="77777777" w:rsidR="00EB53E8" w:rsidRDefault="00EB53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390C" w14:textId="77777777" w:rsidR="00EB53E8" w:rsidRDefault="00ED1AA2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34EC22" wp14:editId="2375B031">
          <wp:simplePos x="0" y="0"/>
          <wp:positionH relativeFrom="margin">
            <wp:align>center</wp:align>
          </wp:positionH>
          <wp:positionV relativeFrom="paragraph">
            <wp:posOffset>233680</wp:posOffset>
          </wp:positionV>
          <wp:extent cx="2377440" cy="1216152"/>
          <wp:effectExtent l="0" t="0" r="0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086" b="7086"/>
                  <a:stretch>
                    <a:fillRect/>
                  </a:stretch>
                </pic:blipFill>
                <pic:spPr>
                  <a:xfrm>
                    <a:off x="0" y="0"/>
                    <a:ext cx="2377440" cy="121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1E1D17"/>
    <w:rsid w:val="001E5425"/>
    <w:rsid w:val="00225B96"/>
    <w:rsid w:val="00325D26"/>
    <w:rsid w:val="00363CD0"/>
    <w:rsid w:val="003A30D4"/>
    <w:rsid w:val="003F7854"/>
    <w:rsid w:val="00433DC7"/>
    <w:rsid w:val="00436807"/>
    <w:rsid w:val="00464B1E"/>
    <w:rsid w:val="00523056"/>
    <w:rsid w:val="005F0C5E"/>
    <w:rsid w:val="006050DD"/>
    <w:rsid w:val="0074257A"/>
    <w:rsid w:val="007852FA"/>
    <w:rsid w:val="007B5A46"/>
    <w:rsid w:val="008B23F6"/>
    <w:rsid w:val="00920125"/>
    <w:rsid w:val="0092396A"/>
    <w:rsid w:val="00A06A0E"/>
    <w:rsid w:val="00B01F11"/>
    <w:rsid w:val="00B26145"/>
    <w:rsid w:val="00B545F8"/>
    <w:rsid w:val="00C00F70"/>
    <w:rsid w:val="00C3781D"/>
    <w:rsid w:val="00C5097C"/>
    <w:rsid w:val="00C54770"/>
    <w:rsid w:val="00CD2EAA"/>
    <w:rsid w:val="00CD45A6"/>
    <w:rsid w:val="00DB6049"/>
    <w:rsid w:val="00DD4BD2"/>
    <w:rsid w:val="00DE4F88"/>
    <w:rsid w:val="00E55A42"/>
    <w:rsid w:val="00EB53E8"/>
    <w:rsid w:val="00ED1AA2"/>
    <w:rsid w:val="00EF5B75"/>
    <w:rsid w:val="00F00314"/>
    <w:rsid w:val="00F05AE4"/>
    <w:rsid w:val="00F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william.tilburg@maryland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7C3B402FDA41942B42A45FE06875" ma:contentTypeVersion="15" ma:contentTypeDescription="Create a new document." ma:contentTypeScope="" ma:versionID="2f391cf39168661b3666bfedaef8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A1F6E-EEEA-4974-821C-796D7E753D3C}"/>
</file>

<file path=customXml/itemProps2.xml><?xml version="1.0" encoding="utf-8"?>
<ds:datastoreItem xmlns:ds="http://schemas.openxmlformats.org/officeDocument/2006/customXml" ds:itemID="{6908F151-2769-47D0-B036-A8B90F36EC5D}"/>
</file>

<file path=customXml/itemProps3.xml><?xml version="1.0" encoding="utf-8"?>
<ds:datastoreItem xmlns:ds="http://schemas.openxmlformats.org/officeDocument/2006/customXml" ds:itemID="{6449C099-9F67-4D25-B7F3-7B2A65A1D364}"/>
</file>

<file path=customXml/itemProps4.xml><?xml version="1.0" encoding="utf-8"?>
<ds:datastoreItem xmlns:ds="http://schemas.openxmlformats.org/officeDocument/2006/customXml" ds:itemID="{4F6FADF9-C0DE-46A9-ADF7-94142324AA01}"/>
</file>

<file path=customXml/itemProps5.xml><?xml version="1.0" encoding="utf-8"?>
<ds:datastoreItem xmlns:ds="http://schemas.openxmlformats.org/officeDocument/2006/customXml" ds:itemID="{C4759DDD-8261-4F92-863F-4C632DB6E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Jourdan Green</cp:lastModifiedBy>
  <cp:revision>2</cp:revision>
  <dcterms:created xsi:type="dcterms:W3CDTF">2019-08-02T19:09:00Z</dcterms:created>
  <dcterms:modified xsi:type="dcterms:W3CDTF">2019-08-02T19:09:00Z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0x01010043EC7C3B402FDA41942B42A45FE06875</vt:lpwstr>
  </property>
  <property fmtid="{D5CDD505-2E9C-101B-9397-08002B2CF9AE}" pid="3" name="_dlc_DocIdItemGuid">
    <vt:lpwstr>19f9ef58-ea53-47d4-a8c8-5aa3eef98f6b</vt:lpwstr>
  </property>
</Properties>
</file>