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48C3" w14:textId="77777777" w:rsidR="004A400B" w:rsidRDefault="004A400B" w:rsidP="004A400B">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056B27CD" w14:textId="77777777" w:rsidR="004A400B" w:rsidRDefault="004A400B" w:rsidP="004A400B">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AE29778" w14:textId="77777777" w:rsidR="004A400B" w:rsidRDefault="004A400B" w:rsidP="004A400B">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007E28">
        <w:rPr>
          <w:rFonts w:ascii="Arial" w:eastAsia="Times New Roman" w:hAnsi="Arial" w:cs="Arial"/>
          <w:b/>
          <w:bCs/>
          <w:color w:val="000080"/>
          <w:sz w:val="28"/>
          <w:szCs w:val="28"/>
        </w:rPr>
        <w:t>August 2</w:t>
      </w:r>
      <w:r>
        <w:rPr>
          <w:rFonts w:ascii="Arial" w:eastAsia="Times New Roman" w:hAnsi="Arial" w:cs="Arial"/>
          <w:b/>
          <w:bCs/>
          <w:color w:val="000080"/>
          <w:sz w:val="28"/>
          <w:szCs w:val="28"/>
        </w:rPr>
        <w:t>, 2019</w:t>
      </w:r>
    </w:p>
    <w:p w14:paraId="61D9D90B" w14:textId="16B42B14" w:rsidR="004A400B" w:rsidRDefault="004A400B" w:rsidP="004A400B">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w:t>
      </w:r>
      <w:r w:rsidR="00266E3D">
        <w:rPr>
          <w:rFonts w:ascii="Arial" w:eastAsia="Times New Roman" w:hAnsi="Arial" w:cs="Arial"/>
          <w:b/>
          <w:color w:val="000080"/>
          <w:sz w:val="28"/>
          <w:szCs w:val="28"/>
        </w:rPr>
        <w:t>6</w:t>
      </w:r>
      <w:bookmarkStart w:id="0" w:name="_GoBack"/>
      <w:bookmarkEnd w:id="0"/>
      <w:r>
        <w:rPr>
          <w:rFonts w:ascii="Arial" w:eastAsia="Times New Roman" w:hAnsi="Arial" w:cs="Arial"/>
          <w:b/>
          <w:color w:val="000080"/>
          <w:sz w:val="28"/>
          <w:szCs w:val="28"/>
        </w:rPr>
        <w:t xml:space="preserve"> • Page 6</w:t>
      </w:r>
      <w:r w:rsidR="00007E28">
        <w:rPr>
          <w:rFonts w:ascii="Arial" w:eastAsia="Times New Roman" w:hAnsi="Arial" w:cs="Arial"/>
          <w:b/>
          <w:color w:val="000080"/>
          <w:sz w:val="28"/>
          <w:szCs w:val="28"/>
        </w:rPr>
        <w:t>99</w:t>
      </w:r>
    </w:p>
    <w:p w14:paraId="7D685DF9" w14:textId="77777777" w:rsidR="004A400B" w:rsidRPr="005E1E47" w:rsidRDefault="004A400B" w:rsidP="004A400B">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14:paraId="27EA17A3" w14:textId="77777777" w:rsidR="004A400B" w:rsidRPr="004A400B" w:rsidRDefault="004A400B" w:rsidP="004A400B">
      <w:pPr>
        <w:spacing w:after="80" w:line="240" w:lineRule="auto"/>
        <w:jc w:val="center"/>
        <w:rPr>
          <w:rFonts w:ascii="Times New Roman" w:eastAsia="Times New Roman" w:hAnsi="Times New Roman"/>
          <w:b/>
          <w:bCs/>
          <w:color w:val="000000"/>
          <w:sz w:val="28"/>
          <w:szCs w:val="28"/>
        </w:rPr>
      </w:pPr>
      <w:r w:rsidRPr="004A400B">
        <w:rPr>
          <w:rFonts w:ascii="Times New Roman" w:eastAsia="Times New Roman" w:hAnsi="Times New Roman"/>
          <w:b/>
          <w:bCs/>
          <w:color w:val="000000"/>
          <w:sz w:val="28"/>
          <w:szCs w:val="28"/>
        </w:rPr>
        <w:t>Subtitle 44 BOARD OF DENTAL EXAMINERS</w:t>
      </w:r>
    </w:p>
    <w:p w14:paraId="5A999D8F" w14:textId="77777777" w:rsidR="004A400B" w:rsidRPr="004A400B" w:rsidRDefault="004A400B" w:rsidP="004A400B">
      <w:pPr>
        <w:spacing w:after="120" w:line="240" w:lineRule="auto"/>
        <w:ind w:left="158" w:hanging="158"/>
        <w:jc w:val="both"/>
        <w:rPr>
          <w:rFonts w:ascii="Times New Roman" w:eastAsia="Times New Roman" w:hAnsi="Times New Roman"/>
          <w:b/>
          <w:bCs/>
          <w:color w:val="000000"/>
          <w:sz w:val="27"/>
          <w:szCs w:val="27"/>
        </w:rPr>
      </w:pPr>
      <w:bookmarkStart w:id="1" w:name="_Toc15046213"/>
      <w:bookmarkEnd w:id="1"/>
      <w:r w:rsidRPr="004A400B">
        <w:rPr>
          <w:rFonts w:ascii="Times New Roman" w:eastAsia="Times New Roman" w:hAnsi="Times New Roman"/>
          <w:b/>
          <w:bCs/>
          <w:color w:val="000000"/>
          <w:sz w:val="27"/>
          <w:szCs w:val="27"/>
        </w:rPr>
        <w:t>10.44.12 Anesthesia and Sedation</w:t>
      </w:r>
    </w:p>
    <w:p w14:paraId="523E4C84" w14:textId="77777777" w:rsidR="004A400B" w:rsidRPr="004A400B" w:rsidRDefault="004A400B" w:rsidP="004A400B">
      <w:pPr>
        <w:spacing w:before="120" w:after="0" w:line="240" w:lineRule="auto"/>
        <w:jc w:val="center"/>
        <w:rPr>
          <w:rFonts w:ascii="Times New Roman" w:eastAsia="Times New Roman" w:hAnsi="Times New Roman"/>
          <w:color w:val="000000"/>
          <w:sz w:val="16"/>
          <w:szCs w:val="16"/>
        </w:rPr>
      </w:pPr>
      <w:r w:rsidRPr="004A400B">
        <w:rPr>
          <w:rFonts w:ascii="Times New Roman" w:eastAsia="Times New Roman" w:hAnsi="Times New Roman"/>
          <w:color w:val="000000"/>
          <w:sz w:val="16"/>
          <w:szCs w:val="16"/>
        </w:rPr>
        <w:t>Authority: Health Occupations Article, §4-205, Annotated Code of Maryland</w:t>
      </w:r>
    </w:p>
    <w:p w14:paraId="3B0A4E6D" w14:textId="77777777" w:rsidR="004A400B" w:rsidRPr="004A400B" w:rsidRDefault="004A400B" w:rsidP="004A400B">
      <w:pPr>
        <w:spacing w:before="120" w:after="0" w:line="240" w:lineRule="auto"/>
        <w:jc w:val="center"/>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Notice of Proposed Action</w:t>
      </w:r>
    </w:p>
    <w:p w14:paraId="156F89B6" w14:textId="77777777" w:rsidR="004A400B" w:rsidRPr="004A400B" w:rsidRDefault="004A400B" w:rsidP="004A400B">
      <w:pPr>
        <w:spacing w:before="40" w:after="40" w:line="240" w:lineRule="auto"/>
        <w:jc w:val="center"/>
        <w:rPr>
          <w:rFonts w:ascii="Times New Roman" w:eastAsia="Times New Roman" w:hAnsi="Times New Roman"/>
          <w:color w:val="000000"/>
          <w:sz w:val="16"/>
          <w:szCs w:val="16"/>
        </w:rPr>
      </w:pPr>
      <w:r w:rsidRPr="004A400B">
        <w:rPr>
          <w:rFonts w:ascii="Times New Roman" w:eastAsia="Times New Roman" w:hAnsi="Times New Roman"/>
          <w:color w:val="000000"/>
          <w:sz w:val="16"/>
          <w:szCs w:val="16"/>
        </w:rPr>
        <w:t>[19-153-P]</w:t>
      </w:r>
    </w:p>
    <w:p w14:paraId="7302C3FC"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The Secretary of Health proposes to amend Regulations </w:t>
      </w:r>
      <w:r w:rsidRPr="004A400B">
        <w:rPr>
          <w:rFonts w:ascii="Times New Roman" w:eastAsia="Times New Roman" w:hAnsi="Times New Roman"/>
          <w:b/>
          <w:bCs/>
          <w:color w:val="000000"/>
          <w:sz w:val="18"/>
          <w:szCs w:val="18"/>
        </w:rPr>
        <w:t>.11</w:t>
      </w:r>
      <w:r w:rsidRPr="004A400B">
        <w:rPr>
          <w:rFonts w:ascii="Times New Roman" w:eastAsia="Times New Roman" w:hAnsi="Times New Roman"/>
          <w:color w:val="000000"/>
          <w:sz w:val="18"/>
          <w:szCs w:val="18"/>
        </w:rPr>
        <w:t> and </w:t>
      </w:r>
      <w:r w:rsidRPr="004A400B">
        <w:rPr>
          <w:rFonts w:ascii="Times New Roman" w:eastAsia="Times New Roman" w:hAnsi="Times New Roman"/>
          <w:b/>
          <w:bCs/>
          <w:color w:val="000000"/>
          <w:sz w:val="18"/>
          <w:szCs w:val="18"/>
        </w:rPr>
        <w:t>.21</w:t>
      </w:r>
      <w:r w:rsidRPr="004A400B">
        <w:rPr>
          <w:rFonts w:ascii="Times New Roman" w:eastAsia="Times New Roman" w:hAnsi="Times New Roman"/>
          <w:color w:val="000000"/>
          <w:sz w:val="18"/>
          <w:szCs w:val="18"/>
        </w:rPr>
        <w:t> under </w:t>
      </w:r>
      <w:r w:rsidRPr="004A400B">
        <w:rPr>
          <w:rFonts w:ascii="Times New Roman" w:eastAsia="Times New Roman" w:hAnsi="Times New Roman"/>
          <w:b/>
          <w:bCs/>
          <w:color w:val="000000"/>
          <w:sz w:val="18"/>
          <w:szCs w:val="18"/>
        </w:rPr>
        <w:t>COMAR 10.44.12 Anesthesia and Sedation</w:t>
      </w:r>
      <w:r w:rsidRPr="004A400B">
        <w:rPr>
          <w:rFonts w:ascii="Times New Roman" w:eastAsia="Times New Roman" w:hAnsi="Times New Roman"/>
          <w:color w:val="000000"/>
          <w:sz w:val="18"/>
          <w:szCs w:val="18"/>
        </w:rPr>
        <w:t>. This action was considered by the Board of Dental Examiners at a public meeting held on November 7, 2018, notice of which was given under the Notice of Public Meetings link on the Board’s website pursuant to General Provisions Article, §3-302(c), Annotated Code of Maryland.</w:t>
      </w:r>
    </w:p>
    <w:p w14:paraId="4C259594" w14:textId="77777777" w:rsidR="004A400B" w:rsidRPr="004A400B" w:rsidRDefault="004A400B" w:rsidP="004A400B">
      <w:pPr>
        <w:spacing w:before="120" w:after="0" w:line="240" w:lineRule="auto"/>
        <w:jc w:val="center"/>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Statement of Purpose</w:t>
      </w:r>
    </w:p>
    <w:p w14:paraId="58E8327E"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The purpose of this action is to require a dentist who applies for an anesthesia or sedation permit to have either a defibrillator or an automated external defibrillator in their dental office as part of their on-site permit inspection, regardless of whether the dentist treats adult patients only. Additionally, the proposed amendments require the examination of either a defibrillator or an automated external defibrillator as part of the on-site inspection of a dental office when a dentist wishes to renew a Class III anesthesia permit, regardless of whether the dentist treats adult patients only.</w:t>
      </w:r>
    </w:p>
    <w:p w14:paraId="5EE602E8" w14:textId="77777777" w:rsidR="004A400B" w:rsidRPr="004A400B" w:rsidRDefault="004A400B" w:rsidP="004A400B">
      <w:pPr>
        <w:spacing w:before="120" w:after="0" w:line="240" w:lineRule="auto"/>
        <w:jc w:val="center"/>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 </w:t>
      </w:r>
    </w:p>
    <w:p w14:paraId="390A7724" w14:textId="77777777" w:rsidR="004A400B" w:rsidRPr="004A400B" w:rsidRDefault="004A400B" w:rsidP="004A400B">
      <w:pPr>
        <w:spacing w:before="120" w:after="0" w:line="240" w:lineRule="auto"/>
        <w:jc w:val="center"/>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Comparison to Federal Standards</w:t>
      </w:r>
    </w:p>
    <w:p w14:paraId="61897964"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There is no corresponding federal standard to this proposed action.</w:t>
      </w:r>
    </w:p>
    <w:p w14:paraId="7202DEF2" w14:textId="77777777" w:rsidR="004A400B" w:rsidRPr="004A400B" w:rsidRDefault="004A400B" w:rsidP="004A400B">
      <w:pPr>
        <w:spacing w:before="120" w:after="0" w:line="240" w:lineRule="auto"/>
        <w:jc w:val="center"/>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Estimate of Economic Impact</w:t>
      </w:r>
    </w:p>
    <w:p w14:paraId="732FE026"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The proposed action has no economic impact.</w:t>
      </w:r>
    </w:p>
    <w:p w14:paraId="0EB703EC" w14:textId="77777777" w:rsidR="004A400B" w:rsidRPr="004A400B" w:rsidRDefault="004A400B" w:rsidP="004A400B">
      <w:pPr>
        <w:spacing w:before="120" w:after="0" w:line="240" w:lineRule="auto"/>
        <w:jc w:val="center"/>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Economic Impact on Small Businesses</w:t>
      </w:r>
    </w:p>
    <w:p w14:paraId="1E1E40CA"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The proposed action has minimal or no economic impact on small businesses.</w:t>
      </w:r>
    </w:p>
    <w:p w14:paraId="09A846E0" w14:textId="77777777" w:rsidR="004A400B" w:rsidRPr="004A400B" w:rsidRDefault="004A400B" w:rsidP="004A400B">
      <w:pPr>
        <w:spacing w:before="120" w:after="0" w:line="240" w:lineRule="auto"/>
        <w:jc w:val="center"/>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Impact on Individuals with Disabilities</w:t>
      </w:r>
    </w:p>
    <w:p w14:paraId="17B3A96A"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The proposed action has no impact on individuals with disabilities.</w:t>
      </w:r>
    </w:p>
    <w:p w14:paraId="6276F729" w14:textId="77777777" w:rsidR="004A400B" w:rsidRPr="004A400B" w:rsidRDefault="004A400B" w:rsidP="004A400B">
      <w:pPr>
        <w:spacing w:before="120" w:after="0" w:line="240" w:lineRule="auto"/>
        <w:jc w:val="center"/>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Opportunity for Public Comment</w:t>
      </w:r>
    </w:p>
    <w:p w14:paraId="08F4CDD1"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September 3, 2019. A public hearing has not been scheduled.</w:t>
      </w:r>
    </w:p>
    <w:p w14:paraId="3288904F" w14:textId="77777777" w:rsidR="004A400B" w:rsidRPr="004A400B" w:rsidRDefault="004A400B" w:rsidP="004A400B">
      <w:pPr>
        <w:spacing w:before="140" w:after="0" w:line="240" w:lineRule="auto"/>
        <w:ind w:left="533" w:hanging="533"/>
        <w:jc w:val="both"/>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.11 Facility Evaluation Criteria.</w:t>
      </w:r>
    </w:p>
    <w:p w14:paraId="3C15082E"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A. Except as otherwise provided in this regulation, to qualify for a permit, the facility and the applicant shall pass an evaluation of facility equipment, medications, and clinical records to include at least the following:</w:t>
      </w:r>
    </w:p>
    <w:p w14:paraId="0DE7B29E" w14:textId="77777777" w:rsidR="004A400B" w:rsidRPr="004A400B" w:rsidRDefault="004A400B" w:rsidP="004A400B">
      <w:pPr>
        <w:spacing w:after="0" w:line="240" w:lineRule="auto"/>
        <w:ind w:firstLine="432"/>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(1)</w:t>
      </w:r>
      <w:proofErr w:type="gramStart"/>
      <w:r w:rsidRPr="004A400B">
        <w:rPr>
          <w:rFonts w:ascii="Times New Roman" w:eastAsia="Times New Roman" w:hAnsi="Times New Roman"/>
          <w:color w:val="000000"/>
          <w:sz w:val="18"/>
          <w:szCs w:val="18"/>
        </w:rPr>
        <w:t>—(</w:t>
      </w:r>
      <w:proofErr w:type="gramEnd"/>
      <w:r w:rsidRPr="004A400B">
        <w:rPr>
          <w:rFonts w:ascii="Times New Roman" w:eastAsia="Times New Roman" w:hAnsi="Times New Roman"/>
          <w:color w:val="000000"/>
          <w:sz w:val="18"/>
          <w:szCs w:val="18"/>
        </w:rPr>
        <w:t>14) (text unchanged)</w:t>
      </w:r>
    </w:p>
    <w:p w14:paraId="0CBC0C14" w14:textId="77777777" w:rsidR="004A400B" w:rsidRPr="004A400B" w:rsidRDefault="004A400B" w:rsidP="004A400B">
      <w:pPr>
        <w:spacing w:after="0" w:line="240" w:lineRule="auto"/>
        <w:ind w:firstLine="432"/>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(15) Defibrillator or automated external defibrillator (AED) </w:t>
      </w:r>
      <w:r w:rsidRPr="004A400B">
        <w:rPr>
          <w:rFonts w:ascii="Times New Roman" w:eastAsia="Times New Roman" w:hAnsi="Times New Roman"/>
          <w:b/>
          <w:bCs/>
          <w:color w:val="000000"/>
          <w:sz w:val="18"/>
          <w:szCs w:val="18"/>
        </w:rPr>
        <w:t>[</w:t>
      </w:r>
      <w:r w:rsidRPr="004A400B">
        <w:rPr>
          <w:rFonts w:ascii="Times New Roman" w:eastAsia="Times New Roman" w:hAnsi="Times New Roman"/>
          <w:color w:val="000000"/>
          <w:sz w:val="18"/>
          <w:szCs w:val="18"/>
        </w:rPr>
        <w:t>for adult patients</w:t>
      </w:r>
      <w:r w:rsidRPr="004A400B">
        <w:rPr>
          <w:rFonts w:ascii="Times New Roman" w:eastAsia="Times New Roman" w:hAnsi="Times New Roman"/>
          <w:b/>
          <w:bCs/>
          <w:color w:val="000000"/>
          <w:sz w:val="18"/>
          <w:szCs w:val="18"/>
        </w:rPr>
        <w:t>]</w:t>
      </w:r>
      <w:r w:rsidRPr="004A400B">
        <w:rPr>
          <w:rFonts w:ascii="Times New Roman" w:eastAsia="Times New Roman" w:hAnsi="Times New Roman"/>
          <w:color w:val="000000"/>
          <w:sz w:val="18"/>
          <w:szCs w:val="18"/>
        </w:rPr>
        <w:t>;</w:t>
      </w:r>
    </w:p>
    <w:p w14:paraId="252802FB" w14:textId="77777777" w:rsidR="004A400B" w:rsidRPr="004A400B" w:rsidRDefault="004A400B" w:rsidP="004A400B">
      <w:pPr>
        <w:spacing w:after="0" w:line="240" w:lineRule="auto"/>
        <w:ind w:firstLine="432"/>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(16)</w:t>
      </w:r>
      <w:proofErr w:type="gramStart"/>
      <w:r w:rsidRPr="004A400B">
        <w:rPr>
          <w:rFonts w:ascii="Times New Roman" w:eastAsia="Times New Roman" w:hAnsi="Times New Roman"/>
          <w:color w:val="000000"/>
          <w:sz w:val="18"/>
          <w:szCs w:val="18"/>
        </w:rPr>
        <w:t>—(</w:t>
      </w:r>
      <w:proofErr w:type="gramEnd"/>
      <w:r w:rsidRPr="004A400B">
        <w:rPr>
          <w:rFonts w:ascii="Times New Roman" w:eastAsia="Times New Roman" w:hAnsi="Times New Roman"/>
          <w:color w:val="000000"/>
          <w:sz w:val="18"/>
          <w:szCs w:val="18"/>
        </w:rPr>
        <w:t>17) (text unchanged)</w:t>
      </w:r>
    </w:p>
    <w:p w14:paraId="0B071501"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B.—C. (text unchanged)</w:t>
      </w:r>
    </w:p>
    <w:p w14:paraId="29BD7539" w14:textId="77777777" w:rsidR="004A400B" w:rsidRPr="004A400B" w:rsidRDefault="004A400B" w:rsidP="004A400B">
      <w:pPr>
        <w:spacing w:before="140" w:after="0" w:line="240" w:lineRule="auto"/>
        <w:ind w:left="533" w:hanging="533"/>
        <w:jc w:val="both"/>
        <w:rPr>
          <w:rFonts w:ascii="Times New Roman" w:eastAsia="Times New Roman" w:hAnsi="Times New Roman"/>
          <w:b/>
          <w:bCs/>
          <w:color w:val="000000"/>
          <w:sz w:val="18"/>
          <w:szCs w:val="18"/>
        </w:rPr>
      </w:pPr>
      <w:r w:rsidRPr="004A400B">
        <w:rPr>
          <w:rFonts w:ascii="Times New Roman" w:eastAsia="Times New Roman" w:hAnsi="Times New Roman"/>
          <w:b/>
          <w:bCs/>
          <w:color w:val="000000"/>
          <w:sz w:val="18"/>
          <w:szCs w:val="18"/>
        </w:rPr>
        <w:t>.21 Renewal of Class III Permits.</w:t>
      </w:r>
    </w:p>
    <w:p w14:paraId="6446C57A"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A.—F. (text unchanged)</w:t>
      </w:r>
    </w:p>
    <w:p w14:paraId="0A12B4E3"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G. In addition to the requirements of §D of this regulation, a dentist who wishes to renew a Class III permit shall pass a facility evaluation of facility equipment, medications, and clinical records to include at least the following:</w:t>
      </w:r>
    </w:p>
    <w:p w14:paraId="0AB21A98" w14:textId="77777777" w:rsidR="004A400B" w:rsidRPr="004A400B" w:rsidRDefault="004A400B" w:rsidP="004A400B">
      <w:pPr>
        <w:spacing w:after="0" w:line="240" w:lineRule="auto"/>
        <w:ind w:firstLine="432"/>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(1)</w:t>
      </w:r>
      <w:proofErr w:type="gramStart"/>
      <w:r w:rsidRPr="004A400B">
        <w:rPr>
          <w:rFonts w:ascii="Times New Roman" w:eastAsia="Times New Roman" w:hAnsi="Times New Roman"/>
          <w:color w:val="000000"/>
          <w:sz w:val="18"/>
          <w:szCs w:val="18"/>
        </w:rPr>
        <w:t>—(</w:t>
      </w:r>
      <w:proofErr w:type="gramEnd"/>
      <w:r w:rsidRPr="004A400B">
        <w:rPr>
          <w:rFonts w:ascii="Times New Roman" w:eastAsia="Times New Roman" w:hAnsi="Times New Roman"/>
          <w:color w:val="000000"/>
          <w:sz w:val="18"/>
          <w:szCs w:val="18"/>
        </w:rPr>
        <w:t>15) (text unchanged)</w:t>
      </w:r>
    </w:p>
    <w:p w14:paraId="6DB3008C" w14:textId="77777777" w:rsidR="004A400B" w:rsidRPr="004A400B" w:rsidRDefault="004A400B" w:rsidP="004A400B">
      <w:pPr>
        <w:spacing w:after="0" w:line="240" w:lineRule="auto"/>
        <w:ind w:firstLine="432"/>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(16) Defibrillator </w:t>
      </w:r>
      <w:r w:rsidRPr="004A400B">
        <w:rPr>
          <w:rFonts w:ascii="Times New Roman" w:eastAsia="Times New Roman" w:hAnsi="Times New Roman"/>
          <w:b/>
          <w:bCs/>
          <w:color w:val="000000"/>
          <w:sz w:val="18"/>
          <w:szCs w:val="18"/>
        </w:rPr>
        <w:t>[</w:t>
      </w:r>
      <w:r w:rsidRPr="004A400B">
        <w:rPr>
          <w:rFonts w:ascii="Times New Roman" w:eastAsia="Times New Roman" w:hAnsi="Times New Roman"/>
          <w:color w:val="000000"/>
          <w:sz w:val="18"/>
          <w:szCs w:val="18"/>
        </w:rPr>
        <w:t>and</w:t>
      </w:r>
      <w:r w:rsidRPr="004A400B">
        <w:rPr>
          <w:rFonts w:ascii="Times New Roman" w:eastAsia="Times New Roman" w:hAnsi="Times New Roman"/>
          <w:b/>
          <w:bCs/>
          <w:color w:val="000000"/>
          <w:sz w:val="18"/>
          <w:szCs w:val="18"/>
        </w:rPr>
        <w:t>] </w:t>
      </w:r>
      <w:r w:rsidRPr="004A400B">
        <w:rPr>
          <w:rFonts w:ascii="Times New Roman" w:eastAsia="Times New Roman" w:hAnsi="Times New Roman"/>
          <w:i/>
          <w:iCs/>
          <w:color w:val="000000"/>
          <w:sz w:val="18"/>
          <w:szCs w:val="18"/>
        </w:rPr>
        <w:t>or</w:t>
      </w:r>
      <w:r w:rsidRPr="004A400B">
        <w:rPr>
          <w:rFonts w:ascii="Times New Roman" w:eastAsia="Times New Roman" w:hAnsi="Times New Roman"/>
          <w:color w:val="000000"/>
          <w:sz w:val="18"/>
          <w:szCs w:val="18"/>
        </w:rPr>
        <w:t> automated external defibrillator (AED) </w:t>
      </w:r>
      <w:r w:rsidRPr="004A400B">
        <w:rPr>
          <w:rFonts w:ascii="Times New Roman" w:eastAsia="Times New Roman" w:hAnsi="Times New Roman"/>
          <w:b/>
          <w:bCs/>
          <w:color w:val="000000"/>
          <w:sz w:val="18"/>
          <w:szCs w:val="18"/>
        </w:rPr>
        <w:t>[</w:t>
      </w:r>
      <w:r w:rsidRPr="004A400B">
        <w:rPr>
          <w:rFonts w:ascii="Times New Roman" w:eastAsia="Times New Roman" w:hAnsi="Times New Roman"/>
          <w:color w:val="000000"/>
          <w:sz w:val="18"/>
          <w:szCs w:val="18"/>
        </w:rPr>
        <w:t>for adult patients</w:t>
      </w:r>
      <w:r w:rsidRPr="004A400B">
        <w:rPr>
          <w:rFonts w:ascii="Times New Roman" w:eastAsia="Times New Roman" w:hAnsi="Times New Roman"/>
          <w:b/>
          <w:bCs/>
          <w:color w:val="000000"/>
          <w:sz w:val="18"/>
          <w:szCs w:val="18"/>
        </w:rPr>
        <w:t>]</w:t>
      </w:r>
      <w:r w:rsidRPr="004A400B">
        <w:rPr>
          <w:rFonts w:ascii="Times New Roman" w:eastAsia="Times New Roman" w:hAnsi="Times New Roman"/>
          <w:color w:val="000000"/>
          <w:sz w:val="18"/>
          <w:szCs w:val="18"/>
        </w:rPr>
        <w:t>;</w:t>
      </w:r>
    </w:p>
    <w:p w14:paraId="0728F811" w14:textId="77777777" w:rsidR="004A400B" w:rsidRPr="004A400B" w:rsidRDefault="004A400B" w:rsidP="004A400B">
      <w:pPr>
        <w:spacing w:after="0" w:line="240" w:lineRule="auto"/>
        <w:ind w:firstLine="432"/>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(17)</w:t>
      </w:r>
      <w:proofErr w:type="gramStart"/>
      <w:r w:rsidRPr="004A400B">
        <w:rPr>
          <w:rFonts w:ascii="Times New Roman" w:eastAsia="Times New Roman" w:hAnsi="Times New Roman"/>
          <w:color w:val="000000"/>
          <w:sz w:val="18"/>
          <w:szCs w:val="18"/>
        </w:rPr>
        <w:t>—(</w:t>
      </w:r>
      <w:proofErr w:type="gramEnd"/>
      <w:r w:rsidRPr="004A400B">
        <w:rPr>
          <w:rFonts w:ascii="Times New Roman" w:eastAsia="Times New Roman" w:hAnsi="Times New Roman"/>
          <w:color w:val="000000"/>
          <w:sz w:val="18"/>
          <w:szCs w:val="18"/>
        </w:rPr>
        <w:t>18) (text unchanged)</w:t>
      </w:r>
    </w:p>
    <w:p w14:paraId="49C16BBB" w14:textId="77777777" w:rsidR="004A400B" w:rsidRPr="004A400B" w:rsidRDefault="004A400B" w:rsidP="004A400B">
      <w:pPr>
        <w:spacing w:after="0" w:line="240" w:lineRule="auto"/>
        <w:ind w:firstLine="216"/>
        <w:jc w:val="both"/>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lastRenderedPageBreak/>
        <w:t>H.—K. (text unchanged)</w:t>
      </w:r>
    </w:p>
    <w:p w14:paraId="1C4ED0AF" w14:textId="77777777" w:rsidR="004A400B" w:rsidRPr="004A400B" w:rsidRDefault="004A400B" w:rsidP="004A400B">
      <w:pPr>
        <w:spacing w:before="120" w:after="0" w:line="240" w:lineRule="auto"/>
        <w:jc w:val="right"/>
        <w:rPr>
          <w:rFonts w:ascii="Times New Roman" w:eastAsia="Times New Roman" w:hAnsi="Times New Roman"/>
          <w:color w:val="000000"/>
          <w:sz w:val="18"/>
          <w:szCs w:val="18"/>
        </w:rPr>
      </w:pPr>
      <w:r w:rsidRPr="004A400B">
        <w:rPr>
          <w:rFonts w:ascii="Times New Roman" w:eastAsia="Times New Roman" w:hAnsi="Times New Roman"/>
          <w:color w:val="000000"/>
          <w:sz w:val="18"/>
          <w:szCs w:val="18"/>
        </w:rPr>
        <w:t>ROBERT R. NEALL</w:t>
      </w:r>
      <w:r w:rsidRPr="004A400B">
        <w:rPr>
          <w:rFonts w:ascii="Times New Roman" w:eastAsia="Times New Roman" w:hAnsi="Times New Roman"/>
          <w:color w:val="000000"/>
          <w:sz w:val="18"/>
          <w:szCs w:val="18"/>
        </w:rPr>
        <w:br/>
        <w:t>Secretary of Health</w:t>
      </w:r>
    </w:p>
    <w:p w14:paraId="16A884B2" w14:textId="77777777" w:rsidR="004A400B" w:rsidRPr="004A400B" w:rsidRDefault="004A400B" w:rsidP="004A400B">
      <w:pPr>
        <w:spacing w:after="0" w:line="240" w:lineRule="auto"/>
        <w:jc w:val="both"/>
        <w:rPr>
          <w:rFonts w:ascii="Times New Roman" w:eastAsia="Times New Roman" w:hAnsi="Times New Roman"/>
          <w:color w:val="000000"/>
          <w:sz w:val="18"/>
          <w:szCs w:val="18"/>
        </w:rPr>
      </w:pPr>
      <w:r w:rsidRPr="004A400B">
        <w:rPr>
          <w:rFonts w:ascii="Times New Roman" w:eastAsia="Times New Roman" w:hAnsi="Times New Roman"/>
          <w:color w:val="000000"/>
          <w:sz w:val="24"/>
          <w:szCs w:val="24"/>
        </w:rPr>
        <w:t> </w:t>
      </w:r>
    </w:p>
    <w:p w14:paraId="59F76034" w14:textId="77777777" w:rsidR="00973495" w:rsidRDefault="00266E3D"/>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0B"/>
    <w:rsid w:val="00007E28"/>
    <w:rsid w:val="00266E3D"/>
    <w:rsid w:val="004A400B"/>
    <w:rsid w:val="008A6F3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C989"/>
  <w15:chartTrackingRefBased/>
  <w15:docId w15:val="{06E23917-2804-4F91-9B79-BBB556E2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0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3627E7A-C31E-4A40-A18D-BBE410491054}"/>
</file>

<file path=customXml/itemProps2.xml><?xml version="1.0" encoding="utf-8"?>
<ds:datastoreItem xmlns:ds="http://schemas.openxmlformats.org/officeDocument/2006/customXml" ds:itemID="{E1CEBAC2-23D2-49DA-B391-1E8F5A90ED31}"/>
</file>

<file path=customXml/itemProps3.xml><?xml version="1.0" encoding="utf-8"?>
<ds:datastoreItem xmlns:ds="http://schemas.openxmlformats.org/officeDocument/2006/customXml" ds:itemID="{5B7CBE0E-6319-40F3-A970-74DEB143E9EF}"/>
</file>

<file path=customXml/itemProps4.xml><?xml version="1.0" encoding="utf-8"?>
<ds:datastoreItem xmlns:ds="http://schemas.openxmlformats.org/officeDocument/2006/customXml" ds:itemID="{C1201875-E14C-4BE2-A6DC-5C1471069F87}"/>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3</cp:revision>
  <dcterms:created xsi:type="dcterms:W3CDTF">2019-08-02T13:51:00Z</dcterms:created>
  <dcterms:modified xsi:type="dcterms:W3CDTF">2019-08-02T14:02:00Z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036d4463-dd69-4dbc-9655-8978c2961545</vt:lpwstr>
  </property>
</Properties>
</file>