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6AF83" w14:textId="77777777" w:rsidR="00A5482F" w:rsidRDefault="00A5482F" w:rsidP="00A5482F">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22282CA1" w14:textId="77777777" w:rsidR="00A5482F" w:rsidRDefault="00A5482F" w:rsidP="00A5482F">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7A44CFA9" w14:textId="77777777" w:rsidR="00A5482F" w:rsidRDefault="00A5482F" w:rsidP="00A5482F">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November 6, 2020</w:t>
      </w:r>
    </w:p>
    <w:p w14:paraId="3CDF88EC" w14:textId="263EB775" w:rsidR="00A5482F" w:rsidRDefault="00A5482F" w:rsidP="00A5482F">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23 • Page </w:t>
      </w:r>
      <w:r w:rsidR="008F206D">
        <w:rPr>
          <w:rFonts w:ascii="Arial" w:eastAsia="Times New Roman" w:hAnsi="Arial" w:cs="Arial"/>
          <w:b/>
          <w:color w:val="000080"/>
          <w:sz w:val="28"/>
          <w:szCs w:val="28"/>
        </w:rPr>
        <w:t>987-988</w:t>
      </w:r>
    </w:p>
    <w:p w14:paraId="66948965" w14:textId="77777777" w:rsidR="00A5482F" w:rsidRPr="00085EB6" w:rsidRDefault="00A5482F" w:rsidP="00A5482F">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0CBDC613" w14:textId="77777777" w:rsidR="00A5482F" w:rsidRDefault="00A5482F" w:rsidP="00A5482F">
      <w:pPr>
        <w:pStyle w:val="st"/>
        <w:spacing w:before="0" w:beforeAutospacing="0" w:after="80" w:afterAutospacing="0"/>
        <w:jc w:val="center"/>
        <w:rPr>
          <w:b/>
          <w:bCs/>
          <w:color w:val="000000"/>
          <w:sz w:val="28"/>
          <w:szCs w:val="28"/>
        </w:rPr>
      </w:pPr>
      <w:r>
        <w:rPr>
          <w:b/>
          <w:bCs/>
          <w:color w:val="000000"/>
          <w:sz w:val="28"/>
          <w:szCs w:val="28"/>
        </w:rPr>
        <w:t>Subtitle 27 BOARD OF NURSING</w:t>
      </w:r>
    </w:p>
    <w:p w14:paraId="676474C2" w14:textId="77777777" w:rsidR="00A5482F" w:rsidRDefault="00A5482F" w:rsidP="00A5482F">
      <w:pPr>
        <w:pStyle w:val="ch"/>
        <w:spacing w:before="0" w:beforeAutospacing="0" w:after="120" w:afterAutospacing="0"/>
        <w:ind w:left="158" w:hanging="158"/>
        <w:jc w:val="both"/>
        <w:rPr>
          <w:b/>
          <w:bCs/>
          <w:color w:val="000000"/>
          <w:sz w:val="27"/>
          <w:szCs w:val="27"/>
        </w:rPr>
      </w:pPr>
      <w:bookmarkStart w:id="0" w:name="_Toc55217266"/>
      <w:bookmarkEnd w:id="0"/>
      <w:r>
        <w:rPr>
          <w:b/>
          <w:bCs/>
          <w:color w:val="000000"/>
          <w:sz w:val="27"/>
          <w:szCs w:val="27"/>
        </w:rPr>
        <w:t>10.27.01 Examination and Licensure</w:t>
      </w:r>
    </w:p>
    <w:p w14:paraId="13E0169D" w14:textId="77777777" w:rsidR="00A5482F" w:rsidRDefault="00A5482F" w:rsidP="00A5482F">
      <w:pPr>
        <w:pStyle w:val="au"/>
        <w:spacing w:before="120" w:beforeAutospacing="0" w:after="0" w:afterAutospacing="0"/>
        <w:jc w:val="center"/>
        <w:rPr>
          <w:color w:val="000000"/>
          <w:sz w:val="16"/>
          <w:szCs w:val="16"/>
        </w:rPr>
      </w:pPr>
      <w:r>
        <w:rPr>
          <w:color w:val="000000"/>
          <w:sz w:val="16"/>
          <w:szCs w:val="16"/>
        </w:rPr>
        <w:t>Authority: Health Occupations Article, §§8-205(a)(1), (2), (5), and (6), </w:t>
      </w:r>
      <w:r>
        <w:rPr>
          <w:i/>
          <w:iCs/>
          <w:color w:val="000000"/>
          <w:sz w:val="16"/>
          <w:szCs w:val="16"/>
        </w:rPr>
        <w:t>8-701,</w:t>
      </w:r>
      <w:r>
        <w:rPr>
          <w:color w:val="000000"/>
          <w:sz w:val="16"/>
          <w:szCs w:val="16"/>
        </w:rPr>
        <w:t> and </w:t>
      </w:r>
      <w:r>
        <w:rPr>
          <w:i/>
          <w:iCs/>
          <w:color w:val="000000"/>
          <w:sz w:val="16"/>
          <w:szCs w:val="16"/>
        </w:rPr>
        <w:t>8-7A-01, Article III6(b)(2), </w:t>
      </w:r>
      <w:r>
        <w:rPr>
          <w:color w:val="000000"/>
          <w:sz w:val="16"/>
          <w:szCs w:val="16"/>
        </w:rPr>
        <w:t>Annotated Code of Maryland; Chs. 281 and 282, Acts of 2013</w:t>
      </w:r>
    </w:p>
    <w:p w14:paraId="16D03A3D" w14:textId="77777777" w:rsidR="00A5482F" w:rsidRDefault="00A5482F" w:rsidP="00A5482F">
      <w:pPr>
        <w:pStyle w:val="notice"/>
        <w:spacing w:before="120" w:beforeAutospacing="0" w:after="0" w:afterAutospacing="0"/>
        <w:jc w:val="center"/>
        <w:rPr>
          <w:b/>
          <w:bCs/>
          <w:color w:val="000000"/>
          <w:sz w:val="18"/>
          <w:szCs w:val="18"/>
        </w:rPr>
      </w:pPr>
      <w:r>
        <w:rPr>
          <w:b/>
          <w:bCs/>
          <w:color w:val="000000"/>
          <w:sz w:val="18"/>
          <w:szCs w:val="18"/>
        </w:rPr>
        <w:t>Notice of Proposed Action</w:t>
      </w:r>
    </w:p>
    <w:p w14:paraId="4D56E849" w14:textId="77777777" w:rsidR="00A5482F" w:rsidRDefault="00A5482F" w:rsidP="00A5482F">
      <w:pPr>
        <w:pStyle w:val="dn"/>
        <w:spacing w:before="40" w:beforeAutospacing="0" w:after="40" w:afterAutospacing="0"/>
        <w:jc w:val="center"/>
        <w:rPr>
          <w:color w:val="000000"/>
          <w:sz w:val="16"/>
          <w:szCs w:val="16"/>
        </w:rPr>
      </w:pPr>
      <w:r>
        <w:rPr>
          <w:color w:val="000000"/>
          <w:sz w:val="16"/>
          <w:szCs w:val="16"/>
        </w:rPr>
        <w:t>[20-178-P]</w:t>
      </w:r>
    </w:p>
    <w:p w14:paraId="1A1A2638" w14:textId="77777777" w:rsidR="00A5482F" w:rsidRDefault="00A5482F" w:rsidP="00A5482F">
      <w:pPr>
        <w:pStyle w:val="nr1"/>
        <w:spacing w:before="0" w:beforeAutospacing="0" w:after="0" w:afterAutospacing="0"/>
        <w:ind w:firstLine="216"/>
        <w:jc w:val="both"/>
        <w:rPr>
          <w:color w:val="000000"/>
          <w:sz w:val="18"/>
          <w:szCs w:val="18"/>
        </w:rPr>
      </w:pPr>
      <w:r>
        <w:rPr>
          <w:color w:val="000000"/>
          <w:sz w:val="18"/>
          <w:szCs w:val="18"/>
        </w:rPr>
        <w:t>The Secretary of Health proposes to amend Regulations </w:t>
      </w:r>
      <w:r>
        <w:rPr>
          <w:b/>
          <w:bCs/>
          <w:color w:val="000000"/>
          <w:sz w:val="18"/>
          <w:szCs w:val="18"/>
        </w:rPr>
        <w:t>.01</w:t>
      </w:r>
      <w:r>
        <w:rPr>
          <w:color w:val="000000"/>
          <w:sz w:val="18"/>
          <w:szCs w:val="18"/>
        </w:rPr>
        <w:t>, </w:t>
      </w:r>
      <w:r>
        <w:rPr>
          <w:b/>
          <w:bCs/>
          <w:color w:val="000000"/>
          <w:sz w:val="18"/>
          <w:szCs w:val="18"/>
        </w:rPr>
        <w:t>.05</w:t>
      </w:r>
      <w:r>
        <w:rPr>
          <w:color w:val="000000"/>
          <w:sz w:val="18"/>
          <w:szCs w:val="18"/>
        </w:rPr>
        <w:t>, and </w:t>
      </w:r>
      <w:r>
        <w:rPr>
          <w:b/>
          <w:bCs/>
          <w:color w:val="000000"/>
          <w:sz w:val="18"/>
          <w:szCs w:val="18"/>
        </w:rPr>
        <w:t>.10</w:t>
      </w:r>
      <w:r>
        <w:rPr>
          <w:color w:val="000000"/>
          <w:sz w:val="18"/>
          <w:szCs w:val="18"/>
        </w:rPr>
        <w:t> under </w:t>
      </w:r>
      <w:r>
        <w:rPr>
          <w:b/>
          <w:bCs/>
          <w:color w:val="000000"/>
          <w:sz w:val="18"/>
          <w:szCs w:val="18"/>
        </w:rPr>
        <w:t>COMAR 10.27.01 Examination and Licensure</w:t>
      </w:r>
      <w:r>
        <w:rPr>
          <w:color w:val="000000"/>
          <w:sz w:val="18"/>
          <w:szCs w:val="18"/>
        </w:rPr>
        <w:t>. This action was considered at a public meeting of the Board of Nursing on September 26, 2018, notice of which was given by publication on the Board’s website beginning January 1, 2018, through September 26, 2018, pursuant to General Provisions Article, §3-302(c), Annotated Code of Maryland.</w:t>
      </w:r>
    </w:p>
    <w:p w14:paraId="7838E2D2" w14:textId="77777777" w:rsidR="00A5482F" w:rsidRDefault="00A5482F" w:rsidP="00A5482F">
      <w:pPr>
        <w:pStyle w:val="notice"/>
        <w:spacing w:before="120" w:beforeAutospacing="0" w:after="0" w:afterAutospacing="0"/>
        <w:jc w:val="center"/>
        <w:rPr>
          <w:b/>
          <w:bCs/>
          <w:color w:val="000000"/>
          <w:sz w:val="18"/>
          <w:szCs w:val="18"/>
        </w:rPr>
      </w:pPr>
      <w:r>
        <w:rPr>
          <w:b/>
          <w:bCs/>
          <w:color w:val="000000"/>
          <w:sz w:val="18"/>
          <w:szCs w:val="18"/>
        </w:rPr>
        <w:t>Statement of Purpose</w:t>
      </w:r>
    </w:p>
    <w:p w14:paraId="39628022" w14:textId="77777777" w:rsidR="00A5482F" w:rsidRDefault="00A5482F" w:rsidP="00A5482F">
      <w:pPr>
        <w:pStyle w:val="nr1"/>
        <w:spacing w:before="0" w:beforeAutospacing="0" w:after="0" w:afterAutospacing="0"/>
        <w:ind w:firstLine="216"/>
        <w:jc w:val="both"/>
        <w:rPr>
          <w:color w:val="000000"/>
          <w:sz w:val="18"/>
          <w:szCs w:val="18"/>
        </w:rPr>
      </w:pPr>
      <w:r>
        <w:rPr>
          <w:color w:val="000000"/>
          <w:sz w:val="18"/>
          <w:szCs w:val="18"/>
        </w:rPr>
        <w:t>The purpose of this action is to:</w:t>
      </w:r>
    </w:p>
    <w:p w14:paraId="12DA7D48" w14:textId="77777777" w:rsidR="00A5482F" w:rsidRDefault="00A5482F" w:rsidP="00A5482F">
      <w:pPr>
        <w:pStyle w:val="nr2"/>
        <w:spacing w:before="0" w:beforeAutospacing="0" w:after="0" w:afterAutospacing="0"/>
        <w:ind w:firstLine="432"/>
        <w:jc w:val="both"/>
        <w:rPr>
          <w:color w:val="000000"/>
          <w:sz w:val="18"/>
          <w:szCs w:val="18"/>
        </w:rPr>
      </w:pPr>
      <w:r>
        <w:rPr>
          <w:color w:val="000000"/>
          <w:sz w:val="18"/>
          <w:szCs w:val="18"/>
        </w:rPr>
        <w:t>(1) Amend the requirements for testing English competency of foreign nursing school graduates whose nursing education was not taught in English;</w:t>
      </w:r>
    </w:p>
    <w:p w14:paraId="63050055" w14:textId="77777777" w:rsidR="00A5482F" w:rsidRDefault="00A5482F" w:rsidP="00A5482F">
      <w:pPr>
        <w:pStyle w:val="nr2"/>
        <w:spacing w:before="0" w:beforeAutospacing="0" w:after="0" w:afterAutospacing="0"/>
        <w:ind w:firstLine="432"/>
        <w:jc w:val="both"/>
        <w:rPr>
          <w:color w:val="000000"/>
          <w:sz w:val="18"/>
          <w:szCs w:val="18"/>
        </w:rPr>
      </w:pPr>
      <w:r>
        <w:rPr>
          <w:color w:val="000000"/>
          <w:sz w:val="18"/>
          <w:szCs w:val="18"/>
        </w:rPr>
        <w:t>(2) Repeal the waiver for a clinical nursing education requirement for a nurse applying for a license by endorsement in this State;</w:t>
      </w:r>
    </w:p>
    <w:p w14:paraId="51EA9A2A" w14:textId="77777777" w:rsidR="00A5482F" w:rsidRDefault="00A5482F" w:rsidP="00A5482F">
      <w:pPr>
        <w:pStyle w:val="nr2"/>
        <w:spacing w:before="0" w:beforeAutospacing="0" w:after="0" w:afterAutospacing="0"/>
        <w:ind w:firstLine="432"/>
        <w:jc w:val="both"/>
        <w:rPr>
          <w:color w:val="000000"/>
          <w:sz w:val="18"/>
          <w:szCs w:val="18"/>
        </w:rPr>
      </w:pPr>
      <w:r>
        <w:rPr>
          <w:color w:val="000000"/>
          <w:sz w:val="18"/>
          <w:szCs w:val="18"/>
        </w:rPr>
        <w:t>(3) Define competency in reading, speaking, writing, and listening in accordance with the Nurse Licensure Compact.</w:t>
      </w:r>
    </w:p>
    <w:p w14:paraId="30291C91" w14:textId="77777777" w:rsidR="00A5482F" w:rsidRDefault="00A5482F" w:rsidP="00A5482F">
      <w:pPr>
        <w:pStyle w:val="nr2"/>
        <w:spacing w:before="0" w:beforeAutospacing="0" w:after="0" w:afterAutospacing="0"/>
        <w:ind w:firstLine="432"/>
        <w:jc w:val="both"/>
        <w:rPr>
          <w:color w:val="000000"/>
          <w:sz w:val="18"/>
          <w:szCs w:val="18"/>
        </w:rPr>
      </w:pPr>
      <w:r>
        <w:rPr>
          <w:color w:val="000000"/>
          <w:sz w:val="18"/>
          <w:szCs w:val="18"/>
        </w:rPr>
        <w:t>(4) Define the minimal passing scores for the two English language competency tests that the Board recognizes; and</w:t>
      </w:r>
    </w:p>
    <w:p w14:paraId="3439C250" w14:textId="77777777" w:rsidR="00A5482F" w:rsidRDefault="00A5482F" w:rsidP="00A5482F">
      <w:pPr>
        <w:pStyle w:val="nr2"/>
        <w:spacing w:before="0" w:beforeAutospacing="0" w:after="0" w:afterAutospacing="0"/>
        <w:ind w:firstLine="432"/>
        <w:jc w:val="both"/>
        <w:rPr>
          <w:color w:val="000000"/>
          <w:sz w:val="18"/>
          <w:szCs w:val="18"/>
        </w:rPr>
      </w:pPr>
      <w:r>
        <w:rPr>
          <w:color w:val="000000"/>
          <w:sz w:val="18"/>
          <w:szCs w:val="18"/>
        </w:rPr>
        <w:t>(5) Repeal, in accordance with the Sunset Provision, effective September 30, 2018, for Health Occupations Article, §8-307(c), Annotated Code of Maryland, the requirement that the Board waive the supervised clinical learning experience requirement for nurse endorsement applicants who attended a nursing program without a supervised clinical learning experience requirement.</w:t>
      </w:r>
    </w:p>
    <w:p w14:paraId="26E05686" w14:textId="77777777" w:rsidR="00A5482F" w:rsidRDefault="00A5482F" w:rsidP="00A5482F">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14:paraId="076415E5" w14:textId="77777777" w:rsidR="00A5482F" w:rsidRDefault="00A5482F" w:rsidP="00A5482F">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14:paraId="25A8A30C" w14:textId="77777777" w:rsidR="00A5482F" w:rsidRDefault="00A5482F" w:rsidP="00A5482F">
      <w:pPr>
        <w:pStyle w:val="notice"/>
        <w:spacing w:before="120" w:beforeAutospacing="0" w:after="0" w:afterAutospacing="0"/>
        <w:jc w:val="center"/>
        <w:rPr>
          <w:b/>
          <w:bCs/>
          <w:color w:val="000000"/>
          <w:sz w:val="18"/>
          <w:szCs w:val="18"/>
        </w:rPr>
      </w:pPr>
      <w:r>
        <w:rPr>
          <w:b/>
          <w:bCs/>
          <w:color w:val="000000"/>
          <w:sz w:val="18"/>
          <w:szCs w:val="18"/>
        </w:rPr>
        <w:t>Estimate of Economic Impact</w:t>
      </w:r>
    </w:p>
    <w:p w14:paraId="5183C752" w14:textId="77777777" w:rsidR="00A5482F" w:rsidRDefault="00A5482F" w:rsidP="00A5482F">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14:paraId="478264F6" w14:textId="77777777" w:rsidR="00A5482F" w:rsidRDefault="00A5482F" w:rsidP="00A5482F">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14:paraId="706818D7" w14:textId="77777777" w:rsidR="00A5482F" w:rsidRDefault="00A5482F" w:rsidP="00A5482F">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14:paraId="648DEA63" w14:textId="77777777" w:rsidR="00A5482F" w:rsidRDefault="00A5482F" w:rsidP="00A5482F">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14:paraId="3365C297" w14:textId="77777777" w:rsidR="00A5482F" w:rsidRDefault="00A5482F" w:rsidP="00A5482F">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14:paraId="61E6E089" w14:textId="77777777" w:rsidR="00A5482F" w:rsidRDefault="00A5482F" w:rsidP="00A5482F">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14:paraId="7140E51F" w14:textId="77777777" w:rsidR="00A5482F" w:rsidRDefault="00A5482F" w:rsidP="00A5482F">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December 7, 2020. A public hearing has not been scheduled.</w:t>
      </w:r>
    </w:p>
    <w:p w14:paraId="61A2D20B" w14:textId="77777777" w:rsidR="00A5482F" w:rsidRDefault="00A5482F" w:rsidP="00A5482F">
      <w:pPr>
        <w:pStyle w:val="rt"/>
        <w:spacing w:before="140" w:beforeAutospacing="0" w:after="0" w:afterAutospacing="0"/>
        <w:ind w:left="533" w:hanging="533"/>
        <w:jc w:val="both"/>
        <w:rPr>
          <w:b/>
          <w:bCs/>
          <w:color w:val="000000"/>
          <w:sz w:val="18"/>
          <w:szCs w:val="18"/>
        </w:rPr>
      </w:pPr>
      <w:r>
        <w:rPr>
          <w:b/>
          <w:bCs/>
          <w:color w:val="000000"/>
          <w:sz w:val="18"/>
          <w:szCs w:val="18"/>
        </w:rPr>
        <w:t>.01 Definitions.</w:t>
      </w:r>
    </w:p>
    <w:p w14:paraId="3E60CC88" w14:textId="77777777" w:rsidR="00A5482F" w:rsidRDefault="00A5482F" w:rsidP="00A5482F">
      <w:pPr>
        <w:pStyle w:val="p1"/>
        <w:spacing w:before="0" w:beforeAutospacing="0" w:after="0" w:afterAutospacing="0"/>
        <w:ind w:firstLine="216"/>
        <w:jc w:val="both"/>
        <w:rPr>
          <w:color w:val="000000"/>
          <w:sz w:val="18"/>
          <w:szCs w:val="18"/>
        </w:rPr>
      </w:pPr>
      <w:r>
        <w:rPr>
          <w:color w:val="000000"/>
          <w:sz w:val="18"/>
          <w:szCs w:val="18"/>
        </w:rPr>
        <w:t>A. (text unchanged)</w:t>
      </w:r>
    </w:p>
    <w:p w14:paraId="229363C3" w14:textId="77777777" w:rsidR="00A5482F" w:rsidRDefault="00A5482F" w:rsidP="00A5482F">
      <w:pPr>
        <w:pStyle w:val="p1"/>
        <w:spacing w:before="0" w:beforeAutospacing="0" w:after="0" w:afterAutospacing="0"/>
        <w:ind w:firstLine="216"/>
        <w:jc w:val="both"/>
        <w:rPr>
          <w:color w:val="000000"/>
          <w:sz w:val="18"/>
          <w:szCs w:val="18"/>
        </w:rPr>
      </w:pPr>
      <w:r>
        <w:rPr>
          <w:color w:val="000000"/>
          <w:sz w:val="18"/>
          <w:szCs w:val="18"/>
        </w:rPr>
        <w:t>B. Terms Defined.</w:t>
      </w:r>
    </w:p>
    <w:p w14:paraId="0B66E7F7"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(1)―(11) (text unchanged)</w:t>
      </w:r>
    </w:p>
    <w:p w14:paraId="05DDA415"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(12) “English language competency examination” means </w:t>
      </w:r>
      <w:r>
        <w:rPr>
          <w:b/>
          <w:bCs/>
          <w:color w:val="000000"/>
          <w:sz w:val="18"/>
          <w:szCs w:val="18"/>
        </w:rPr>
        <w:t>[</w:t>
      </w:r>
      <w:r>
        <w:rPr>
          <w:color w:val="000000"/>
          <w:sz w:val="18"/>
          <w:szCs w:val="18"/>
        </w:rPr>
        <w:t>a Board</w:t>
      </w:r>
      <w:r>
        <w:rPr>
          <w:i/>
          <w:iCs/>
          <w:color w:val="000000"/>
          <w:sz w:val="18"/>
          <w:szCs w:val="18"/>
        </w:rPr>
        <w:t>-</w:t>
      </w:r>
      <w:r>
        <w:rPr>
          <w:color w:val="000000"/>
          <w:sz w:val="18"/>
          <w:szCs w:val="18"/>
        </w:rPr>
        <w:t>approved</w:t>
      </w:r>
      <w:r>
        <w:rPr>
          <w:b/>
          <w:bCs/>
          <w:color w:val="000000"/>
          <w:sz w:val="18"/>
          <w:szCs w:val="18"/>
        </w:rPr>
        <w:t>] </w:t>
      </w:r>
      <w:r>
        <w:rPr>
          <w:i/>
          <w:iCs/>
          <w:color w:val="000000"/>
          <w:sz w:val="18"/>
          <w:szCs w:val="18"/>
        </w:rPr>
        <w:t>an </w:t>
      </w:r>
      <w:r>
        <w:rPr>
          <w:color w:val="000000"/>
          <w:sz w:val="18"/>
          <w:szCs w:val="18"/>
        </w:rPr>
        <w:t>examination </w:t>
      </w:r>
      <w:r>
        <w:rPr>
          <w:b/>
          <w:bCs/>
          <w:color w:val="000000"/>
          <w:sz w:val="18"/>
          <w:szCs w:val="18"/>
        </w:rPr>
        <w:t>[</w:t>
      </w:r>
      <w:r>
        <w:rPr>
          <w:color w:val="000000"/>
          <w:sz w:val="18"/>
          <w:szCs w:val="18"/>
        </w:rPr>
        <w:t>with a certain minimum score recognized by the Board for the purpose of</w:t>
      </w:r>
      <w:r>
        <w:rPr>
          <w:b/>
          <w:bCs/>
          <w:color w:val="000000"/>
          <w:sz w:val="18"/>
          <w:szCs w:val="18"/>
        </w:rPr>
        <w:t> </w:t>
      </w:r>
      <w:r>
        <w:rPr>
          <w:color w:val="000000"/>
          <w:sz w:val="18"/>
          <w:szCs w:val="18"/>
        </w:rPr>
        <w:t>determining proficiency in the oral and written</w:t>
      </w:r>
      <w:r>
        <w:rPr>
          <w:i/>
          <w:iCs/>
          <w:color w:val="000000"/>
          <w:sz w:val="18"/>
          <w:szCs w:val="18"/>
        </w:rPr>
        <w:t> </w:t>
      </w:r>
      <w:r>
        <w:rPr>
          <w:color w:val="000000"/>
          <w:sz w:val="18"/>
          <w:szCs w:val="18"/>
        </w:rPr>
        <w:t>communication of</w:t>
      </w:r>
      <w:r>
        <w:rPr>
          <w:b/>
          <w:bCs/>
          <w:color w:val="000000"/>
          <w:sz w:val="18"/>
          <w:szCs w:val="18"/>
        </w:rPr>
        <w:t>]</w:t>
      </w:r>
      <w:r>
        <w:rPr>
          <w:color w:val="000000"/>
          <w:sz w:val="18"/>
          <w:szCs w:val="18"/>
        </w:rPr>
        <w:t> </w:t>
      </w:r>
      <w:r>
        <w:rPr>
          <w:i/>
          <w:iCs/>
          <w:color w:val="000000"/>
          <w:sz w:val="18"/>
          <w:szCs w:val="18"/>
        </w:rPr>
        <w:t>that tests an individual’s</w:t>
      </w:r>
      <w:r>
        <w:rPr>
          <w:color w:val="000000"/>
          <w:sz w:val="18"/>
          <w:szCs w:val="18"/>
        </w:rPr>
        <w:t> </w:t>
      </w:r>
      <w:r>
        <w:rPr>
          <w:i/>
          <w:iCs/>
          <w:color w:val="000000"/>
          <w:sz w:val="18"/>
          <w:szCs w:val="18"/>
        </w:rPr>
        <w:t>written and oral competency in </w:t>
      </w:r>
      <w:r>
        <w:rPr>
          <w:color w:val="000000"/>
          <w:sz w:val="18"/>
          <w:szCs w:val="18"/>
        </w:rPr>
        <w:t>the English language.</w:t>
      </w:r>
    </w:p>
    <w:p w14:paraId="22EC79B2"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(13)―(17) (text unchanged)</w:t>
      </w:r>
    </w:p>
    <w:p w14:paraId="650560C0"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(18) “Substantially equivalent” has the meaning stated in </w:t>
      </w:r>
      <w:r>
        <w:rPr>
          <w:b/>
          <w:bCs/>
          <w:color w:val="000000"/>
          <w:sz w:val="18"/>
          <w:szCs w:val="18"/>
        </w:rPr>
        <w:t>[</w:t>
      </w:r>
      <w:r>
        <w:rPr>
          <w:color w:val="000000"/>
          <w:sz w:val="18"/>
          <w:szCs w:val="18"/>
        </w:rPr>
        <w:t>§C</w:t>
      </w:r>
      <w:r>
        <w:rPr>
          <w:b/>
          <w:bCs/>
          <w:color w:val="000000"/>
          <w:sz w:val="18"/>
          <w:szCs w:val="18"/>
        </w:rPr>
        <w:t>]</w:t>
      </w:r>
      <w:r>
        <w:rPr>
          <w:color w:val="000000"/>
          <w:sz w:val="18"/>
          <w:szCs w:val="18"/>
        </w:rPr>
        <w:t> </w:t>
      </w:r>
      <w:r>
        <w:rPr>
          <w:i/>
          <w:iCs/>
          <w:color w:val="000000"/>
          <w:sz w:val="18"/>
          <w:szCs w:val="18"/>
        </w:rPr>
        <w:t>§§C and D </w:t>
      </w:r>
      <w:r>
        <w:rPr>
          <w:color w:val="000000"/>
          <w:sz w:val="18"/>
          <w:szCs w:val="18"/>
        </w:rPr>
        <w:t>of this regulation.</w:t>
      </w:r>
    </w:p>
    <w:p w14:paraId="1A5DA3B5"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(19) (text unchanged)</w:t>
      </w:r>
    </w:p>
    <w:p w14:paraId="155E1732" w14:textId="77777777" w:rsidR="00A5482F" w:rsidRDefault="00A5482F" w:rsidP="00A5482F">
      <w:pPr>
        <w:pStyle w:val="p2"/>
        <w:spacing w:before="0" w:beforeAutospacing="0" w:after="0" w:afterAutospacing="0"/>
        <w:ind w:firstLine="432"/>
        <w:jc w:val="both"/>
        <w:rPr>
          <w:color w:val="000000"/>
          <w:sz w:val="18"/>
          <w:szCs w:val="18"/>
        </w:rPr>
      </w:pPr>
      <w:r>
        <w:rPr>
          <w:i/>
          <w:iCs/>
          <w:color w:val="000000"/>
          <w:sz w:val="18"/>
          <w:szCs w:val="18"/>
        </w:rPr>
        <w:lastRenderedPageBreak/>
        <w:t>(20) “Written and oral competency in the English language” means the ability to demonstrate proficiency in listening, reading, speaking, and writing the English language.</w:t>
      </w:r>
    </w:p>
    <w:p w14:paraId="55AC94BB" w14:textId="77777777" w:rsidR="00A5482F" w:rsidRDefault="00A5482F" w:rsidP="00A5482F">
      <w:pPr>
        <w:pStyle w:val="p1"/>
        <w:spacing w:before="0" w:beforeAutospacing="0" w:after="0" w:afterAutospacing="0"/>
        <w:ind w:firstLine="216"/>
        <w:jc w:val="both"/>
        <w:rPr>
          <w:color w:val="000000"/>
          <w:sz w:val="18"/>
          <w:szCs w:val="18"/>
        </w:rPr>
      </w:pPr>
      <w:r>
        <w:rPr>
          <w:color w:val="000000"/>
          <w:sz w:val="18"/>
          <w:szCs w:val="18"/>
        </w:rPr>
        <w:t>C. (text unchanged)</w:t>
      </w:r>
    </w:p>
    <w:p w14:paraId="58D2B348" w14:textId="77777777" w:rsidR="00A5482F" w:rsidRDefault="00A5482F" w:rsidP="00A5482F">
      <w:pPr>
        <w:pStyle w:val="p1"/>
        <w:spacing w:before="0" w:beforeAutospacing="0" w:after="0" w:afterAutospacing="0"/>
        <w:ind w:firstLine="216"/>
        <w:jc w:val="both"/>
        <w:rPr>
          <w:color w:val="000000"/>
          <w:sz w:val="18"/>
          <w:szCs w:val="18"/>
        </w:rPr>
      </w:pPr>
      <w:r>
        <w:rPr>
          <w:i/>
          <w:iCs/>
          <w:color w:val="000000"/>
          <w:sz w:val="18"/>
          <w:szCs w:val="18"/>
        </w:rPr>
        <w:t>D. “Substantially equivalent” does not mean a registered nurse or licensed practical nursing education program in another state or country that does not have a supervised clinical learning experience requirement.</w:t>
      </w:r>
    </w:p>
    <w:p w14:paraId="2634B9D5" w14:textId="77777777" w:rsidR="00A5482F" w:rsidRDefault="00A5482F" w:rsidP="00A5482F">
      <w:pPr>
        <w:pStyle w:val="rt"/>
        <w:spacing w:before="140" w:beforeAutospacing="0" w:after="0" w:afterAutospacing="0"/>
        <w:ind w:left="533" w:hanging="533"/>
        <w:jc w:val="both"/>
        <w:rPr>
          <w:b/>
          <w:bCs/>
          <w:color w:val="000000"/>
          <w:sz w:val="18"/>
          <w:szCs w:val="18"/>
        </w:rPr>
      </w:pPr>
      <w:r>
        <w:rPr>
          <w:b/>
          <w:bCs/>
          <w:color w:val="000000"/>
          <w:sz w:val="18"/>
          <w:szCs w:val="18"/>
        </w:rPr>
        <w:t>.05 Qualifications of Applicants for Examination.</w:t>
      </w:r>
    </w:p>
    <w:p w14:paraId="4FC9F0B4" w14:textId="77777777" w:rsidR="00A5482F" w:rsidRDefault="00A5482F" w:rsidP="00A5482F">
      <w:pPr>
        <w:pStyle w:val="p1"/>
        <w:spacing w:before="0" w:beforeAutospacing="0" w:after="0" w:afterAutospacing="0"/>
        <w:ind w:firstLine="216"/>
        <w:jc w:val="both"/>
        <w:rPr>
          <w:color w:val="000000"/>
          <w:sz w:val="18"/>
          <w:szCs w:val="18"/>
        </w:rPr>
      </w:pPr>
      <w:r>
        <w:rPr>
          <w:color w:val="000000"/>
          <w:sz w:val="18"/>
          <w:szCs w:val="18"/>
        </w:rPr>
        <w:t>A.—B. (text unchanged)</w:t>
      </w:r>
    </w:p>
    <w:p w14:paraId="1123F871" w14:textId="77777777" w:rsidR="00A5482F" w:rsidRDefault="00A5482F" w:rsidP="00A5482F">
      <w:pPr>
        <w:pStyle w:val="p1"/>
        <w:spacing w:before="0" w:beforeAutospacing="0" w:after="0" w:afterAutospacing="0"/>
        <w:ind w:firstLine="216"/>
        <w:jc w:val="both"/>
        <w:rPr>
          <w:color w:val="000000"/>
          <w:sz w:val="18"/>
          <w:szCs w:val="18"/>
        </w:rPr>
      </w:pPr>
      <w:r>
        <w:rPr>
          <w:color w:val="000000"/>
          <w:sz w:val="18"/>
          <w:szCs w:val="18"/>
        </w:rPr>
        <w:t>C. Applicants who are unable to prove </w:t>
      </w:r>
      <w:r>
        <w:rPr>
          <w:b/>
          <w:bCs/>
          <w:color w:val="000000"/>
          <w:sz w:val="18"/>
          <w:szCs w:val="18"/>
        </w:rPr>
        <w:t>[</w:t>
      </w:r>
      <w:r>
        <w:rPr>
          <w:color w:val="000000"/>
          <w:sz w:val="18"/>
          <w:szCs w:val="18"/>
        </w:rPr>
        <w:t>proficiency</w:t>
      </w:r>
      <w:r>
        <w:rPr>
          <w:b/>
          <w:bCs/>
          <w:color w:val="000000"/>
          <w:sz w:val="18"/>
          <w:szCs w:val="18"/>
        </w:rPr>
        <w:t>]</w:t>
      </w:r>
      <w:r>
        <w:rPr>
          <w:color w:val="000000"/>
          <w:sz w:val="18"/>
          <w:szCs w:val="18"/>
        </w:rPr>
        <w:t> </w:t>
      </w:r>
      <w:r>
        <w:rPr>
          <w:i/>
          <w:iCs/>
          <w:color w:val="000000"/>
          <w:sz w:val="18"/>
          <w:szCs w:val="18"/>
        </w:rPr>
        <w:t>written and oral competency </w:t>
      </w:r>
      <w:r>
        <w:rPr>
          <w:color w:val="000000"/>
          <w:sz w:val="18"/>
          <w:szCs w:val="18"/>
        </w:rPr>
        <w:t>in the English language in accordance with Health Occupation Article, </w:t>
      </w:r>
      <w:r>
        <w:rPr>
          <w:b/>
          <w:bCs/>
          <w:color w:val="000000"/>
          <w:sz w:val="18"/>
          <w:szCs w:val="18"/>
        </w:rPr>
        <w:t>[</w:t>
      </w:r>
      <w:r>
        <w:rPr>
          <w:color w:val="000000"/>
          <w:sz w:val="18"/>
          <w:szCs w:val="18"/>
        </w:rPr>
        <w:t>§8-302(e)</w:t>
      </w:r>
      <w:r>
        <w:rPr>
          <w:b/>
          <w:bCs/>
          <w:color w:val="000000"/>
          <w:sz w:val="18"/>
          <w:szCs w:val="18"/>
        </w:rPr>
        <w:t>]</w:t>
      </w:r>
      <w:r>
        <w:rPr>
          <w:color w:val="000000"/>
          <w:sz w:val="18"/>
          <w:szCs w:val="18"/>
        </w:rPr>
        <w:t> </w:t>
      </w:r>
      <w:r>
        <w:rPr>
          <w:i/>
          <w:iCs/>
          <w:color w:val="000000"/>
          <w:sz w:val="18"/>
          <w:szCs w:val="18"/>
        </w:rPr>
        <w:t>§8-302(e)(2) or (4)</w:t>
      </w:r>
      <w:r>
        <w:rPr>
          <w:color w:val="000000"/>
          <w:sz w:val="18"/>
          <w:szCs w:val="18"/>
        </w:rPr>
        <w:t>, Annotated Code of Maryland, </w:t>
      </w:r>
      <w:r>
        <w:rPr>
          <w:b/>
          <w:bCs/>
          <w:color w:val="000000"/>
          <w:sz w:val="18"/>
          <w:szCs w:val="18"/>
        </w:rPr>
        <w:t>[</w:t>
      </w:r>
      <w:r>
        <w:rPr>
          <w:color w:val="000000"/>
          <w:sz w:val="18"/>
          <w:szCs w:val="18"/>
        </w:rPr>
        <w:t>may</w:t>
      </w:r>
      <w:r>
        <w:rPr>
          <w:b/>
          <w:bCs/>
          <w:color w:val="000000"/>
          <w:sz w:val="18"/>
          <w:szCs w:val="18"/>
        </w:rPr>
        <w:t> </w:t>
      </w:r>
      <w:r>
        <w:rPr>
          <w:color w:val="000000"/>
          <w:sz w:val="18"/>
          <w:szCs w:val="18"/>
        </w:rPr>
        <w:t>be required to</w:t>
      </w:r>
      <w:r>
        <w:rPr>
          <w:b/>
          <w:bCs/>
          <w:color w:val="000000"/>
          <w:sz w:val="18"/>
          <w:szCs w:val="18"/>
        </w:rPr>
        <w:t>] </w:t>
      </w:r>
      <w:r>
        <w:rPr>
          <w:i/>
          <w:iCs/>
          <w:color w:val="000000"/>
          <w:sz w:val="18"/>
          <w:szCs w:val="18"/>
        </w:rPr>
        <w:t>shall</w:t>
      </w:r>
      <w:r>
        <w:rPr>
          <w:color w:val="000000"/>
          <w:sz w:val="18"/>
          <w:szCs w:val="18"/>
        </w:rPr>
        <w:t> submit evidence of </w:t>
      </w:r>
      <w:r>
        <w:rPr>
          <w:b/>
          <w:bCs/>
          <w:color w:val="000000"/>
          <w:sz w:val="18"/>
          <w:szCs w:val="18"/>
        </w:rPr>
        <w:t>[</w:t>
      </w:r>
      <w:r>
        <w:rPr>
          <w:color w:val="000000"/>
          <w:sz w:val="18"/>
          <w:szCs w:val="18"/>
        </w:rPr>
        <w:t>competency</w:t>
      </w:r>
      <w:r>
        <w:rPr>
          <w:b/>
          <w:bCs/>
          <w:color w:val="000000"/>
          <w:sz w:val="18"/>
          <w:szCs w:val="18"/>
        </w:rPr>
        <w:t>]</w:t>
      </w:r>
      <w:r>
        <w:rPr>
          <w:color w:val="000000"/>
          <w:sz w:val="18"/>
          <w:szCs w:val="18"/>
        </w:rPr>
        <w:t> </w:t>
      </w:r>
      <w:r>
        <w:rPr>
          <w:i/>
          <w:iCs/>
          <w:color w:val="000000"/>
          <w:sz w:val="18"/>
          <w:szCs w:val="18"/>
        </w:rPr>
        <w:t>proficiency in listening, reading, speaking, and writing the English language</w:t>
      </w:r>
      <w:r>
        <w:rPr>
          <w:color w:val="000000"/>
          <w:sz w:val="18"/>
          <w:szCs w:val="18"/>
        </w:rPr>
        <w:t> </w:t>
      </w:r>
      <w:r>
        <w:rPr>
          <w:b/>
          <w:bCs/>
          <w:color w:val="000000"/>
          <w:sz w:val="18"/>
          <w:szCs w:val="18"/>
        </w:rPr>
        <w:t> </w:t>
      </w:r>
      <w:r>
        <w:rPr>
          <w:color w:val="000000"/>
          <w:sz w:val="18"/>
          <w:szCs w:val="18"/>
        </w:rPr>
        <w:t>by obtaining a minimum passing score on </w:t>
      </w:r>
      <w:r>
        <w:rPr>
          <w:b/>
          <w:bCs/>
          <w:color w:val="000000"/>
          <w:sz w:val="18"/>
          <w:szCs w:val="18"/>
        </w:rPr>
        <w:t>[</w:t>
      </w:r>
      <w:r>
        <w:rPr>
          <w:color w:val="000000"/>
          <w:sz w:val="18"/>
          <w:szCs w:val="18"/>
        </w:rPr>
        <w:t>a</w:t>
      </w:r>
      <w:r>
        <w:rPr>
          <w:b/>
          <w:bCs/>
          <w:color w:val="000000"/>
          <w:sz w:val="18"/>
          <w:szCs w:val="18"/>
        </w:rPr>
        <w:t>] </w:t>
      </w:r>
      <w:r>
        <w:rPr>
          <w:i/>
          <w:iCs/>
          <w:color w:val="000000"/>
          <w:sz w:val="18"/>
          <w:szCs w:val="18"/>
        </w:rPr>
        <w:t>one of </w:t>
      </w:r>
      <w:r>
        <w:rPr>
          <w:b/>
          <w:bCs/>
          <w:color w:val="000000"/>
          <w:sz w:val="18"/>
          <w:szCs w:val="18"/>
        </w:rPr>
        <w:t> </w:t>
      </w:r>
      <w:r>
        <w:rPr>
          <w:i/>
          <w:iCs/>
          <w:color w:val="000000"/>
          <w:sz w:val="18"/>
          <w:szCs w:val="18"/>
        </w:rPr>
        <w:t>the</w:t>
      </w:r>
      <w:r>
        <w:rPr>
          <w:color w:val="000000"/>
          <w:sz w:val="18"/>
          <w:szCs w:val="18"/>
        </w:rPr>
        <w:t> </w:t>
      </w:r>
      <w:r>
        <w:rPr>
          <w:i/>
          <w:iCs/>
          <w:color w:val="000000"/>
          <w:sz w:val="18"/>
          <w:szCs w:val="18"/>
        </w:rPr>
        <w:t>following</w:t>
      </w:r>
      <w:r>
        <w:rPr>
          <w:color w:val="000000"/>
          <w:sz w:val="18"/>
          <w:szCs w:val="18"/>
        </w:rPr>
        <w:t> Board</w:t>
      </w:r>
      <w:r>
        <w:rPr>
          <w:i/>
          <w:iCs/>
          <w:color w:val="000000"/>
          <w:sz w:val="18"/>
          <w:szCs w:val="18"/>
        </w:rPr>
        <w:t>-</w:t>
      </w:r>
      <w:r>
        <w:rPr>
          <w:color w:val="000000"/>
          <w:sz w:val="18"/>
          <w:szCs w:val="18"/>
        </w:rPr>
        <w:t>approved English language competency </w:t>
      </w:r>
      <w:r>
        <w:rPr>
          <w:b/>
          <w:bCs/>
          <w:color w:val="000000"/>
          <w:sz w:val="18"/>
          <w:szCs w:val="18"/>
        </w:rPr>
        <w:t>[</w:t>
      </w:r>
      <w:r>
        <w:rPr>
          <w:color w:val="000000"/>
          <w:sz w:val="18"/>
          <w:szCs w:val="18"/>
        </w:rPr>
        <w:t>examination of</w:t>
      </w:r>
      <w:r>
        <w:rPr>
          <w:b/>
          <w:bCs/>
          <w:color w:val="000000"/>
          <w:sz w:val="18"/>
          <w:szCs w:val="18"/>
        </w:rPr>
        <w:t>] </w:t>
      </w:r>
      <w:r>
        <w:rPr>
          <w:i/>
          <w:iCs/>
          <w:color w:val="000000"/>
          <w:sz w:val="18"/>
          <w:szCs w:val="18"/>
        </w:rPr>
        <w:t>examinations</w:t>
      </w:r>
      <w:r>
        <w:rPr>
          <w:color w:val="000000"/>
          <w:sz w:val="18"/>
          <w:szCs w:val="18"/>
        </w:rPr>
        <w:t>:</w:t>
      </w:r>
    </w:p>
    <w:p w14:paraId="2BFED2BB" w14:textId="77777777" w:rsidR="00A5482F" w:rsidRDefault="00A5482F" w:rsidP="00A5482F">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 26 or higher on the spoken and written sections of the Test of English as a Foreign Language — Internet Based Test (TOEFL IBT); or</w:t>
      </w:r>
    </w:p>
    <w:p w14:paraId="69E714F1"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 </w:t>
      </w:r>
    </w:p>
    <w:p w14:paraId="611B468D"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(2) For the International English Language Testing System (IELTS):</w:t>
      </w:r>
    </w:p>
    <w:p w14:paraId="6E6E89BA"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(a) 7 or higher on the speaking and 6 or higher an all other modules;</w:t>
      </w:r>
      <w:r>
        <w:rPr>
          <w:b/>
          <w:bCs/>
          <w:color w:val="000000"/>
          <w:sz w:val="18"/>
          <w:szCs w:val="18"/>
        </w:rPr>
        <w:t> </w:t>
      </w:r>
      <w:r>
        <w:rPr>
          <w:color w:val="000000"/>
          <w:sz w:val="18"/>
          <w:szCs w:val="18"/>
        </w:rPr>
        <w:t>and</w:t>
      </w:r>
    </w:p>
    <w:p w14:paraId="21A6A41A"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(b) 6.5 or higher on the overall score.</w:t>
      </w:r>
      <w:r>
        <w:rPr>
          <w:b/>
          <w:bCs/>
          <w:color w:val="000000"/>
          <w:sz w:val="18"/>
          <w:szCs w:val="18"/>
        </w:rPr>
        <w:t>]</w:t>
      </w:r>
    </w:p>
    <w:p w14:paraId="10F232EB" w14:textId="77777777" w:rsidR="00A5482F" w:rsidRDefault="00A5482F" w:rsidP="00A5482F">
      <w:pPr>
        <w:pStyle w:val="p2"/>
        <w:spacing w:before="0" w:beforeAutospacing="0" w:after="0" w:afterAutospacing="0"/>
        <w:ind w:firstLine="432"/>
        <w:jc w:val="both"/>
        <w:rPr>
          <w:color w:val="000000"/>
          <w:sz w:val="18"/>
          <w:szCs w:val="18"/>
        </w:rPr>
      </w:pPr>
      <w:r>
        <w:rPr>
          <w:i/>
          <w:iCs/>
          <w:color w:val="000000"/>
          <w:sz w:val="18"/>
          <w:szCs w:val="18"/>
        </w:rPr>
        <w:t>(1) Test of English as a Foreign Language Internet Based Test (TOEFL iBT) with minimum passing scores of:</w:t>
      </w:r>
    </w:p>
    <w:p w14:paraId="36982110" w14:textId="77777777" w:rsidR="00A5482F" w:rsidRDefault="00A5482F" w:rsidP="00A5482F">
      <w:pPr>
        <w:pStyle w:val="p3"/>
        <w:spacing w:before="0" w:beforeAutospacing="0" w:after="0" w:afterAutospacing="0"/>
        <w:ind w:firstLine="648"/>
        <w:jc w:val="both"/>
        <w:rPr>
          <w:color w:val="000000"/>
          <w:sz w:val="18"/>
          <w:szCs w:val="18"/>
        </w:rPr>
      </w:pPr>
      <w:r>
        <w:rPr>
          <w:i/>
          <w:iCs/>
          <w:color w:val="000000"/>
          <w:sz w:val="18"/>
          <w:szCs w:val="18"/>
        </w:rPr>
        <w:t>(a) Listening — 22;</w:t>
      </w:r>
    </w:p>
    <w:p w14:paraId="0539256D" w14:textId="77777777" w:rsidR="00A5482F" w:rsidRDefault="00A5482F" w:rsidP="00A5482F">
      <w:pPr>
        <w:pStyle w:val="p3"/>
        <w:spacing w:before="0" w:beforeAutospacing="0" w:after="0" w:afterAutospacing="0"/>
        <w:ind w:firstLine="648"/>
        <w:jc w:val="both"/>
        <w:rPr>
          <w:color w:val="000000"/>
          <w:sz w:val="18"/>
          <w:szCs w:val="18"/>
        </w:rPr>
      </w:pPr>
      <w:r>
        <w:rPr>
          <w:i/>
          <w:iCs/>
          <w:color w:val="000000"/>
          <w:sz w:val="18"/>
          <w:szCs w:val="18"/>
        </w:rPr>
        <w:t>(b) Reading — 22;</w:t>
      </w:r>
    </w:p>
    <w:p w14:paraId="7C5D8C6D" w14:textId="77777777" w:rsidR="00A5482F" w:rsidRDefault="00A5482F" w:rsidP="00A5482F">
      <w:pPr>
        <w:pStyle w:val="p3"/>
        <w:spacing w:before="0" w:beforeAutospacing="0" w:after="0" w:afterAutospacing="0"/>
        <w:ind w:firstLine="648"/>
        <w:jc w:val="both"/>
        <w:rPr>
          <w:color w:val="000000"/>
          <w:sz w:val="18"/>
          <w:szCs w:val="18"/>
        </w:rPr>
      </w:pPr>
      <w:r>
        <w:rPr>
          <w:i/>
          <w:iCs/>
          <w:color w:val="000000"/>
          <w:sz w:val="18"/>
          <w:szCs w:val="18"/>
        </w:rPr>
        <w:t>(c) Speaking — 26; and</w:t>
      </w:r>
    </w:p>
    <w:p w14:paraId="2BE13CE4" w14:textId="77777777" w:rsidR="00A5482F" w:rsidRDefault="00A5482F" w:rsidP="00A5482F">
      <w:pPr>
        <w:pStyle w:val="p3"/>
        <w:spacing w:before="0" w:beforeAutospacing="0" w:after="0" w:afterAutospacing="0"/>
        <w:ind w:firstLine="648"/>
        <w:jc w:val="both"/>
        <w:rPr>
          <w:color w:val="000000"/>
          <w:sz w:val="18"/>
          <w:szCs w:val="18"/>
        </w:rPr>
      </w:pPr>
      <w:r>
        <w:rPr>
          <w:i/>
          <w:iCs/>
          <w:color w:val="000000"/>
          <w:sz w:val="18"/>
          <w:szCs w:val="18"/>
        </w:rPr>
        <w:t>(d) Writing —24; or</w:t>
      </w:r>
    </w:p>
    <w:p w14:paraId="7AE9C413" w14:textId="77777777" w:rsidR="00A5482F" w:rsidRDefault="00A5482F" w:rsidP="00A5482F">
      <w:pPr>
        <w:pStyle w:val="p2"/>
        <w:spacing w:before="0" w:beforeAutospacing="0" w:after="0" w:afterAutospacing="0"/>
        <w:ind w:firstLine="432"/>
        <w:jc w:val="both"/>
        <w:rPr>
          <w:color w:val="000000"/>
          <w:sz w:val="18"/>
          <w:szCs w:val="18"/>
        </w:rPr>
      </w:pPr>
      <w:r>
        <w:rPr>
          <w:i/>
          <w:iCs/>
          <w:color w:val="000000"/>
          <w:sz w:val="18"/>
          <w:szCs w:val="18"/>
        </w:rPr>
        <w:t>(2) International English Language Testing System (IELTS) with minimum passing scores of:</w:t>
      </w:r>
    </w:p>
    <w:p w14:paraId="75141784" w14:textId="77777777" w:rsidR="00A5482F" w:rsidRDefault="00A5482F" w:rsidP="00A5482F">
      <w:pPr>
        <w:pStyle w:val="p3"/>
        <w:spacing w:before="0" w:beforeAutospacing="0" w:after="0" w:afterAutospacing="0"/>
        <w:ind w:firstLine="648"/>
        <w:jc w:val="both"/>
        <w:rPr>
          <w:color w:val="000000"/>
          <w:sz w:val="18"/>
          <w:szCs w:val="18"/>
        </w:rPr>
      </w:pPr>
      <w:r>
        <w:rPr>
          <w:i/>
          <w:iCs/>
          <w:color w:val="000000"/>
          <w:sz w:val="18"/>
          <w:szCs w:val="18"/>
        </w:rPr>
        <w:t>(a) Listening — 6;</w:t>
      </w:r>
    </w:p>
    <w:p w14:paraId="1ED724A8" w14:textId="77777777" w:rsidR="00A5482F" w:rsidRDefault="00A5482F" w:rsidP="00A5482F">
      <w:pPr>
        <w:pStyle w:val="p3"/>
        <w:spacing w:before="0" w:beforeAutospacing="0" w:after="0" w:afterAutospacing="0"/>
        <w:ind w:firstLine="648"/>
        <w:jc w:val="both"/>
        <w:rPr>
          <w:color w:val="000000"/>
          <w:sz w:val="18"/>
          <w:szCs w:val="18"/>
        </w:rPr>
      </w:pPr>
      <w:r>
        <w:rPr>
          <w:i/>
          <w:iCs/>
          <w:color w:val="000000"/>
          <w:sz w:val="18"/>
          <w:szCs w:val="18"/>
        </w:rPr>
        <w:t>(b) Reading — 6;</w:t>
      </w:r>
    </w:p>
    <w:p w14:paraId="3EA604B1" w14:textId="77777777" w:rsidR="00A5482F" w:rsidRDefault="00A5482F" w:rsidP="00A5482F">
      <w:pPr>
        <w:pStyle w:val="p3"/>
        <w:spacing w:before="0" w:beforeAutospacing="0" w:after="0" w:afterAutospacing="0"/>
        <w:ind w:firstLine="648"/>
        <w:jc w:val="both"/>
        <w:rPr>
          <w:color w:val="000000"/>
          <w:sz w:val="18"/>
          <w:szCs w:val="18"/>
        </w:rPr>
      </w:pPr>
      <w:r>
        <w:rPr>
          <w:i/>
          <w:iCs/>
          <w:color w:val="000000"/>
          <w:sz w:val="18"/>
          <w:szCs w:val="18"/>
        </w:rPr>
        <w:t>(c) Speaking — 7;</w:t>
      </w:r>
    </w:p>
    <w:p w14:paraId="020ED4F8" w14:textId="77777777" w:rsidR="00A5482F" w:rsidRDefault="00A5482F" w:rsidP="00A5482F">
      <w:pPr>
        <w:pStyle w:val="p3"/>
        <w:spacing w:before="0" w:beforeAutospacing="0" w:after="0" w:afterAutospacing="0"/>
        <w:ind w:firstLine="648"/>
        <w:jc w:val="both"/>
        <w:rPr>
          <w:color w:val="000000"/>
          <w:sz w:val="18"/>
          <w:szCs w:val="18"/>
        </w:rPr>
      </w:pPr>
      <w:r>
        <w:rPr>
          <w:i/>
          <w:iCs/>
          <w:color w:val="000000"/>
          <w:sz w:val="18"/>
          <w:szCs w:val="18"/>
        </w:rPr>
        <w:t>(d) Writing — 6; and</w:t>
      </w:r>
    </w:p>
    <w:p w14:paraId="0E0CD955" w14:textId="77777777" w:rsidR="00A5482F" w:rsidRDefault="00A5482F" w:rsidP="00A5482F">
      <w:pPr>
        <w:pStyle w:val="p3"/>
        <w:spacing w:before="0" w:beforeAutospacing="0" w:after="0" w:afterAutospacing="0"/>
        <w:ind w:firstLine="648"/>
        <w:jc w:val="both"/>
        <w:rPr>
          <w:color w:val="000000"/>
          <w:sz w:val="18"/>
          <w:szCs w:val="18"/>
        </w:rPr>
      </w:pPr>
      <w:r>
        <w:rPr>
          <w:i/>
          <w:iCs/>
          <w:color w:val="000000"/>
          <w:sz w:val="18"/>
          <w:szCs w:val="18"/>
        </w:rPr>
        <w:t>(e) Overall score of at least 6.5.</w:t>
      </w:r>
    </w:p>
    <w:p w14:paraId="1DFA3DF1" w14:textId="77777777" w:rsidR="00A5482F" w:rsidRDefault="00A5482F" w:rsidP="00A5482F">
      <w:pPr>
        <w:pStyle w:val="p1"/>
        <w:spacing w:before="0" w:beforeAutospacing="0" w:after="0" w:afterAutospacing="0"/>
        <w:ind w:firstLine="216"/>
        <w:jc w:val="both"/>
        <w:rPr>
          <w:color w:val="000000"/>
          <w:sz w:val="18"/>
          <w:szCs w:val="18"/>
        </w:rPr>
      </w:pPr>
      <w:r>
        <w:rPr>
          <w:color w:val="000000"/>
          <w:sz w:val="18"/>
          <w:szCs w:val="18"/>
        </w:rPr>
        <w:t>D. (text unchanged)</w:t>
      </w:r>
    </w:p>
    <w:p w14:paraId="2427098A" w14:textId="77777777" w:rsidR="00A5482F" w:rsidRDefault="00A5482F" w:rsidP="00A5482F">
      <w:pPr>
        <w:pStyle w:val="rt"/>
        <w:spacing w:before="140" w:beforeAutospacing="0" w:after="0" w:afterAutospacing="0"/>
        <w:ind w:left="533" w:hanging="533"/>
        <w:jc w:val="both"/>
        <w:rPr>
          <w:b/>
          <w:bCs/>
          <w:color w:val="000000"/>
          <w:sz w:val="18"/>
          <w:szCs w:val="18"/>
        </w:rPr>
      </w:pPr>
      <w:r>
        <w:rPr>
          <w:b/>
          <w:bCs/>
          <w:color w:val="000000"/>
          <w:sz w:val="18"/>
          <w:szCs w:val="18"/>
        </w:rPr>
        <w:t>.10 Licensure by Endorsement.</w:t>
      </w:r>
    </w:p>
    <w:p w14:paraId="08A5B573" w14:textId="77777777" w:rsidR="00A5482F" w:rsidRDefault="00A5482F" w:rsidP="00A5482F">
      <w:pPr>
        <w:pStyle w:val="p1"/>
        <w:spacing w:before="0" w:beforeAutospacing="0" w:after="0" w:afterAutospacing="0"/>
        <w:ind w:firstLine="216"/>
        <w:jc w:val="both"/>
        <w:rPr>
          <w:color w:val="000000"/>
          <w:sz w:val="18"/>
          <w:szCs w:val="18"/>
        </w:rPr>
      </w:pPr>
      <w:r>
        <w:rPr>
          <w:color w:val="000000"/>
          <w:sz w:val="18"/>
          <w:szCs w:val="18"/>
        </w:rPr>
        <w:t>A. An applicant licensed to practice registered nursing or practical nursing in another state, territory, or country is eligible for licensure without examination if the applicant:</w:t>
      </w:r>
    </w:p>
    <w:p w14:paraId="582EA6BC"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(1)―(2) (text unchanged)</w:t>
      </w:r>
    </w:p>
    <w:p w14:paraId="10BF6FB6"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(3) Submits the following verifications directly to the Board from the appropriate authority:</w:t>
      </w:r>
    </w:p>
    <w:p w14:paraId="1B2D64CC"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(a)―(d) (text unchanged)</w:t>
      </w:r>
    </w:p>
    <w:p w14:paraId="3780AB1F"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(e) Proof of </w:t>
      </w:r>
      <w:r>
        <w:rPr>
          <w:b/>
          <w:bCs/>
          <w:color w:val="000000"/>
          <w:sz w:val="18"/>
          <w:szCs w:val="18"/>
        </w:rPr>
        <w:t>[</w:t>
      </w:r>
      <w:r>
        <w:rPr>
          <w:color w:val="000000"/>
          <w:sz w:val="18"/>
          <w:szCs w:val="18"/>
        </w:rPr>
        <w:t>oral and written</w:t>
      </w:r>
      <w:r>
        <w:rPr>
          <w:b/>
          <w:bCs/>
          <w:color w:val="000000"/>
          <w:sz w:val="18"/>
          <w:szCs w:val="18"/>
        </w:rPr>
        <w:t>]</w:t>
      </w:r>
      <w:r>
        <w:rPr>
          <w:color w:val="000000"/>
          <w:sz w:val="18"/>
          <w:szCs w:val="18"/>
        </w:rPr>
        <w:t> </w:t>
      </w:r>
      <w:r>
        <w:rPr>
          <w:i/>
          <w:iCs/>
          <w:color w:val="000000"/>
          <w:sz w:val="18"/>
          <w:szCs w:val="18"/>
        </w:rPr>
        <w:t>written and oral </w:t>
      </w:r>
      <w:r>
        <w:rPr>
          <w:color w:val="000000"/>
          <w:sz w:val="18"/>
          <w:szCs w:val="18"/>
        </w:rPr>
        <w:t>competency in the English language </w:t>
      </w:r>
      <w:r>
        <w:rPr>
          <w:i/>
          <w:iCs/>
          <w:color w:val="000000"/>
          <w:sz w:val="18"/>
          <w:szCs w:val="18"/>
        </w:rPr>
        <w:t>in accordance with Regulation .05C of this chapter</w:t>
      </w:r>
      <w:r>
        <w:rPr>
          <w:color w:val="000000"/>
          <w:sz w:val="18"/>
          <w:szCs w:val="18"/>
        </w:rPr>
        <w:t>.</w:t>
      </w:r>
    </w:p>
    <w:p w14:paraId="5E3182E6" w14:textId="77777777" w:rsidR="00A5482F" w:rsidRDefault="00A5482F" w:rsidP="00A5482F">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B. Supervised Clinical Learning Experience Requirement.</w:t>
      </w:r>
    </w:p>
    <w:p w14:paraId="2C77AC10"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(1) A nursing education program approved in another state or country that does not have a supervised clinical learning experience requirement is not substantially equivalent to an approved nursing education program in this State.</w:t>
      </w:r>
    </w:p>
    <w:p w14:paraId="0610BAFB"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(2) An applicant who graduated from a nursing education program in another state or country that did not have a supervised clinical learning requirement does not meet the educational qualifications required by the laws of this State.</w:t>
      </w:r>
    </w:p>
    <w:p w14:paraId="4AE1E881"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(3) The Board may waive the supervised clinical learning experience requirement required by this State for an applicant for licensure by endorsement as a registered nurse who:</w:t>
      </w:r>
    </w:p>
    <w:p w14:paraId="57A174FA"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(a) Has an active unencumbered license to practice registered nursing from another state or country;</w:t>
      </w:r>
    </w:p>
    <w:p w14:paraId="68118C09"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(b) Has graduated from a registered nursing program accredited by a nursing accreditation agency recognized by the Board;</w:t>
      </w:r>
    </w:p>
    <w:p w14:paraId="043620B8"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(c) Submits to the Board evidence of completing 1,000 hours of active practice as a registered nurse within the 12-month period immediately preceding the date of the application; and</w:t>
      </w:r>
    </w:p>
    <w:p w14:paraId="2B91F874"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(d) Otherwise meets the requirements for licensure by endorsement as a registered nurse.</w:t>
      </w:r>
    </w:p>
    <w:p w14:paraId="19F54A2B"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(4) The Board may waive the supervised clinical learning experience requirement required by this State for an applicant for licensure by endorsement as a licensed practical nurse who:</w:t>
      </w:r>
    </w:p>
    <w:p w14:paraId="722B06CB"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(a) Has an active unencumbered license to practice licensed practical nursing from another state or country;</w:t>
      </w:r>
    </w:p>
    <w:p w14:paraId="77B09C45"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(b) Has graduated from a licensed practical nursing program accredited by a nursing accreditation agency recognized by the Board;</w:t>
      </w:r>
    </w:p>
    <w:p w14:paraId="4D67ED17"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(c) Submits to the Board evidence of 1,000 hours of active practice as a licensed practical nurse within the 12-month period immediately preceding the date of the application; and</w:t>
      </w:r>
    </w:p>
    <w:p w14:paraId="26FF6618"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(d) Otherwise meets the requirements for licensure by endorsement as a licensed practical nurse.</w:t>
      </w:r>
    </w:p>
    <w:p w14:paraId="2EFC7F49"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(5) The Board shall accept the following documentation as evidence of completing 1,000 hours of active practice as a registered nurse or licensed practical nurse within the 12-month period immediately preceding the date of the application:</w:t>
      </w:r>
    </w:p>
    <w:p w14:paraId="27ABE1D2"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lastRenderedPageBreak/>
        <w:t>(a) A letter from an employer on the facility’s letterhead, signed and mailed by the employer to the Board of Nursing that states the:</w:t>
      </w:r>
    </w:p>
    <w:p w14:paraId="08030803" w14:textId="77777777" w:rsidR="00A5482F" w:rsidRDefault="00A5482F" w:rsidP="00A5482F">
      <w:pPr>
        <w:pStyle w:val="p4"/>
        <w:spacing w:before="0" w:beforeAutospacing="0" w:after="0" w:afterAutospacing="0"/>
        <w:ind w:firstLine="864"/>
        <w:jc w:val="both"/>
        <w:rPr>
          <w:color w:val="000000"/>
          <w:sz w:val="18"/>
          <w:szCs w:val="18"/>
        </w:rPr>
      </w:pPr>
      <w:r>
        <w:rPr>
          <w:color w:val="000000"/>
          <w:sz w:val="18"/>
          <w:szCs w:val="18"/>
        </w:rPr>
        <w:t>(i) Applicant’s name and license number;</w:t>
      </w:r>
    </w:p>
    <w:p w14:paraId="775722F1" w14:textId="77777777" w:rsidR="00A5482F" w:rsidRDefault="00A5482F" w:rsidP="00A5482F">
      <w:pPr>
        <w:pStyle w:val="p4"/>
        <w:spacing w:before="0" w:beforeAutospacing="0" w:after="0" w:afterAutospacing="0"/>
        <w:ind w:firstLine="864"/>
        <w:jc w:val="both"/>
        <w:rPr>
          <w:color w:val="000000"/>
          <w:sz w:val="18"/>
          <w:szCs w:val="18"/>
        </w:rPr>
      </w:pPr>
      <w:r>
        <w:rPr>
          <w:color w:val="000000"/>
          <w:sz w:val="18"/>
          <w:szCs w:val="18"/>
        </w:rPr>
        <w:t>(ii) Dates of employment;</w:t>
      </w:r>
    </w:p>
    <w:p w14:paraId="64E47F2B" w14:textId="77777777" w:rsidR="00A5482F" w:rsidRDefault="00A5482F" w:rsidP="00A5482F">
      <w:pPr>
        <w:pStyle w:val="p4"/>
        <w:spacing w:before="0" w:beforeAutospacing="0" w:after="0" w:afterAutospacing="0"/>
        <w:ind w:firstLine="864"/>
        <w:jc w:val="both"/>
        <w:rPr>
          <w:color w:val="000000"/>
          <w:sz w:val="18"/>
          <w:szCs w:val="18"/>
        </w:rPr>
      </w:pPr>
      <w:r>
        <w:rPr>
          <w:color w:val="000000"/>
          <w:sz w:val="18"/>
          <w:szCs w:val="18"/>
        </w:rPr>
        <w:t>(iii) Job description; and</w:t>
      </w:r>
    </w:p>
    <w:p w14:paraId="2CEF8C22" w14:textId="77777777" w:rsidR="00A5482F" w:rsidRDefault="00A5482F" w:rsidP="00A5482F">
      <w:pPr>
        <w:pStyle w:val="p4"/>
        <w:spacing w:before="0" w:beforeAutospacing="0" w:after="0" w:afterAutospacing="0"/>
        <w:ind w:firstLine="864"/>
        <w:jc w:val="both"/>
        <w:rPr>
          <w:color w:val="000000"/>
          <w:sz w:val="18"/>
          <w:szCs w:val="18"/>
        </w:rPr>
      </w:pPr>
      <w:r>
        <w:rPr>
          <w:color w:val="000000"/>
          <w:sz w:val="18"/>
          <w:szCs w:val="18"/>
        </w:rPr>
        <w:t>(iv) Number of hours worked within the previous 12-month period immediately preceding the date of the application; and</w:t>
      </w:r>
    </w:p>
    <w:p w14:paraId="7CDFC353" w14:textId="77777777" w:rsidR="00A5482F" w:rsidRDefault="00A5482F" w:rsidP="00A5482F">
      <w:pPr>
        <w:pStyle w:val="p3"/>
        <w:spacing w:before="0" w:beforeAutospacing="0" w:after="0" w:afterAutospacing="0"/>
        <w:ind w:firstLine="648"/>
        <w:jc w:val="both"/>
        <w:rPr>
          <w:color w:val="000000"/>
          <w:sz w:val="18"/>
          <w:szCs w:val="18"/>
        </w:rPr>
      </w:pPr>
      <w:r>
        <w:rPr>
          <w:color w:val="000000"/>
          <w:sz w:val="18"/>
          <w:szCs w:val="18"/>
        </w:rPr>
        <w:t>(b) Pay stubs that indicate the hours of employment within the 12-month period immediately preceding the date of the application.</w:t>
      </w:r>
    </w:p>
    <w:p w14:paraId="2F55323A" w14:textId="77777777" w:rsidR="00A5482F" w:rsidRDefault="00A5482F" w:rsidP="00A5482F">
      <w:pPr>
        <w:pStyle w:val="p2"/>
        <w:spacing w:before="0" w:beforeAutospacing="0" w:after="0" w:afterAutospacing="0"/>
        <w:ind w:firstLine="432"/>
        <w:jc w:val="both"/>
        <w:rPr>
          <w:color w:val="000000"/>
          <w:sz w:val="18"/>
          <w:szCs w:val="18"/>
        </w:rPr>
      </w:pPr>
      <w:r>
        <w:rPr>
          <w:color w:val="000000"/>
          <w:sz w:val="18"/>
          <w:szCs w:val="18"/>
        </w:rPr>
        <w:t>(6) The Board will accept pay stubs by mail from the applicant.</w:t>
      </w:r>
      <w:r>
        <w:rPr>
          <w:b/>
          <w:bCs/>
          <w:color w:val="000000"/>
          <w:sz w:val="18"/>
          <w:szCs w:val="18"/>
        </w:rPr>
        <w:t>]</w:t>
      </w:r>
    </w:p>
    <w:p w14:paraId="7274A446" w14:textId="77777777" w:rsidR="00A5482F" w:rsidRDefault="00A5482F" w:rsidP="00A5482F">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C.</w:t>
      </w:r>
      <w:r>
        <w:rPr>
          <w:b/>
          <w:bCs/>
          <w:color w:val="000000"/>
          <w:sz w:val="18"/>
          <w:szCs w:val="18"/>
        </w:rPr>
        <w:t>] </w:t>
      </w:r>
      <w:r>
        <w:rPr>
          <w:i/>
          <w:iCs/>
          <w:color w:val="000000"/>
          <w:sz w:val="18"/>
          <w:szCs w:val="18"/>
        </w:rPr>
        <w:t>B.</w:t>
      </w:r>
      <w:r>
        <w:rPr>
          <w:color w:val="000000"/>
          <w:sz w:val="18"/>
          <w:szCs w:val="18"/>
        </w:rPr>
        <w:t>―</w:t>
      </w:r>
      <w:r>
        <w:rPr>
          <w:b/>
          <w:bCs/>
          <w:color w:val="000000"/>
          <w:sz w:val="18"/>
          <w:szCs w:val="18"/>
        </w:rPr>
        <w:t>[</w:t>
      </w:r>
      <w:r>
        <w:rPr>
          <w:color w:val="000000"/>
          <w:sz w:val="18"/>
          <w:szCs w:val="18"/>
        </w:rPr>
        <w:t>D.</w:t>
      </w:r>
      <w:r>
        <w:rPr>
          <w:b/>
          <w:bCs/>
          <w:color w:val="000000"/>
          <w:sz w:val="18"/>
          <w:szCs w:val="18"/>
        </w:rPr>
        <w:t>] </w:t>
      </w:r>
      <w:r>
        <w:rPr>
          <w:i/>
          <w:iCs/>
          <w:color w:val="000000"/>
          <w:sz w:val="18"/>
          <w:szCs w:val="18"/>
        </w:rPr>
        <w:t>C.</w:t>
      </w:r>
      <w:r>
        <w:rPr>
          <w:color w:val="000000"/>
          <w:sz w:val="18"/>
          <w:szCs w:val="18"/>
        </w:rPr>
        <w:t> (text unchanged)</w:t>
      </w:r>
    </w:p>
    <w:p w14:paraId="7FCEFD06" w14:textId="77777777" w:rsidR="00A5482F" w:rsidRDefault="00A5482F" w:rsidP="00A5482F">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597A3710" w14:textId="77777777" w:rsidR="00D77C64" w:rsidRDefault="00D77C64"/>
    <w:sectPr w:rsidR="00D7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2F"/>
    <w:rsid w:val="008F206D"/>
    <w:rsid w:val="00A5482F"/>
    <w:rsid w:val="00D7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F6DE"/>
  <w15:chartTrackingRefBased/>
  <w15:docId w15:val="{485F427C-F206-432B-BBEE-C38884A3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2F"/>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A5482F"/>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A5482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7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E175DD6-17FC-4DE2-980A-554D1B9F6350}"/>
</file>

<file path=customXml/itemProps2.xml><?xml version="1.0" encoding="utf-8"?>
<ds:datastoreItem xmlns:ds="http://schemas.openxmlformats.org/officeDocument/2006/customXml" ds:itemID="{A8E03886-8CE2-4664-A670-2FCE79FC111F}"/>
</file>

<file path=customXml/itemProps3.xml><?xml version="1.0" encoding="utf-8"?>
<ds:datastoreItem xmlns:ds="http://schemas.openxmlformats.org/officeDocument/2006/customXml" ds:itemID="{9A17FB7F-BBE9-4D42-A628-623FA8A38875}"/>
</file>

<file path=customXml/itemProps4.xml><?xml version="1.0" encoding="utf-8"?>
<ds:datastoreItem xmlns:ds="http://schemas.openxmlformats.org/officeDocument/2006/customXml" ds:itemID="{B9027530-A7BA-4645-9123-9D7B16BB7A47}"/>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joGreen@health.maryland.gov</cp:lastModifiedBy>
  <cp:revision>2</cp:revision>
  <dcterms:created xsi:type="dcterms:W3CDTF">2020-11-06T18:11:00Z</dcterms:created>
  <dcterms:modified xsi:type="dcterms:W3CDTF">2020-11-06T18:14:00Z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7ce19ef7-a727-4714-a75e-8f3d7a4b1143</vt:lpwstr>
  </property>
  <property fmtid="{D5CDD505-2E9C-101B-9397-08002B2CF9AE}" pid="3" name="ContentTypeId">
    <vt:lpwstr>0x01010043EC7C3B402FDA41942B42A45FE06875</vt:lpwstr>
  </property>
</Properties>
</file>