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2D4" w:rsidRPr="00E1576D" w:rsidRDefault="00D572D4" w:rsidP="00D572D4">
      <w:pPr>
        <w:spacing w:after="0" w:line="240" w:lineRule="auto"/>
        <w:rPr>
          <w:rFonts w:ascii="Arial" w:eastAsia="Calibri" w:hAnsi="Arial" w:cs="Arial"/>
          <w:b/>
          <w:bCs/>
          <w:color w:val="000080"/>
          <w:sz w:val="28"/>
          <w:szCs w:val="28"/>
          <w:u w:val="single"/>
        </w:rPr>
      </w:pPr>
      <w:r>
        <w:rPr>
          <w:rFonts w:ascii="Arial" w:eastAsia="Calibri" w:hAnsi="Arial" w:cs="Arial"/>
          <w:b/>
          <w:bCs/>
          <w:color w:val="000080"/>
          <w:sz w:val="28"/>
          <w:szCs w:val="28"/>
          <w:u w:val="single"/>
        </w:rPr>
        <w:t>PROPOSAL</w:t>
      </w:r>
    </w:p>
    <w:p w:rsidR="00D572D4" w:rsidRPr="00E1576D" w:rsidRDefault="00D572D4" w:rsidP="00D572D4">
      <w:pPr>
        <w:spacing w:after="0" w:line="240" w:lineRule="auto"/>
        <w:rPr>
          <w:rFonts w:ascii="Arial" w:eastAsia="Calibri" w:hAnsi="Arial" w:cs="Arial"/>
          <w:b/>
          <w:bCs/>
          <w:color w:val="000080"/>
          <w:sz w:val="28"/>
          <w:szCs w:val="28"/>
        </w:rPr>
      </w:pPr>
      <w:r w:rsidRPr="00E1576D">
        <w:rPr>
          <w:rFonts w:ascii="Arial" w:eastAsia="Calibri" w:hAnsi="Arial" w:cs="Arial"/>
          <w:b/>
          <w:bCs/>
          <w:color w:val="000080"/>
          <w:sz w:val="28"/>
          <w:szCs w:val="28"/>
        </w:rPr>
        <w:t>Maryland Register</w:t>
      </w:r>
    </w:p>
    <w:p w:rsidR="00D572D4" w:rsidRPr="00E1576D" w:rsidRDefault="00D572D4" w:rsidP="00D572D4">
      <w:pPr>
        <w:spacing w:after="0" w:line="240" w:lineRule="auto"/>
        <w:jc w:val="both"/>
        <w:rPr>
          <w:rFonts w:ascii="Arial" w:eastAsia="Times New Roman" w:hAnsi="Arial" w:cs="Arial"/>
          <w:b/>
          <w:color w:val="000080"/>
          <w:sz w:val="28"/>
          <w:szCs w:val="28"/>
        </w:rPr>
      </w:pPr>
      <w:r w:rsidRPr="00E1576D">
        <w:rPr>
          <w:rFonts w:ascii="Arial" w:eastAsia="Times New Roman" w:hAnsi="Arial" w:cs="Arial"/>
          <w:b/>
          <w:bCs/>
          <w:color w:val="000080"/>
          <w:sz w:val="28"/>
          <w:szCs w:val="28"/>
        </w:rPr>
        <w:t xml:space="preserve">Issue Date:  September </w:t>
      </w:r>
      <w:r>
        <w:rPr>
          <w:rFonts w:ascii="Arial" w:eastAsia="Times New Roman" w:hAnsi="Arial" w:cs="Arial"/>
          <w:b/>
          <w:bCs/>
          <w:color w:val="000080"/>
          <w:sz w:val="28"/>
          <w:szCs w:val="28"/>
        </w:rPr>
        <w:t>27</w:t>
      </w:r>
      <w:r w:rsidRPr="00E1576D">
        <w:rPr>
          <w:rFonts w:ascii="Arial" w:eastAsia="Times New Roman" w:hAnsi="Arial" w:cs="Arial"/>
          <w:b/>
          <w:bCs/>
          <w:color w:val="000080"/>
          <w:sz w:val="28"/>
          <w:szCs w:val="28"/>
        </w:rPr>
        <w:t>, 2019</w:t>
      </w:r>
    </w:p>
    <w:p w:rsidR="00D572D4" w:rsidRPr="00D572D4" w:rsidRDefault="00D572D4" w:rsidP="00D572D4">
      <w:pPr>
        <w:spacing w:after="0" w:line="240" w:lineRule="auto"/>
        <w:jc w:val="both"/>
        <w:rPr>
          <w:rFonts w:ascii="Arial" w:eastAsia="Times New Roman" w:hAnsi="Arial" w:cs="Arial"/>
          <w:b/>
          <w:color w:val="000080"/>
          <w:sz w:val="28"/>
          <w:szCs w:val="28"/>
        </w:rPr>
      </w:pPr>
      <w:r w:rsidRPr="00E1576D">
        <w:rPr>
          <w:rFonts w:ascii="Arial" w:eastAsia="Times New Roman" w:hAnsi="Arial" w:cs="Arial"/>
          <w:b/>
          <w:color w:val="000080"/>
          <w:sz w:val="28"/>
          <w:szCs w:val="28"/>
        </w:rPr>
        <w:t xml:space="preserve">Volume 46 • Issue </w:t>
      </w:r>
      <w:r>
        <w:rPr>
          <w:rFonts w:ascii="Arial" w:eastAsia="Times New Roman" w:hAnsi="Arial" w:cs="Arial"/>
          <w:b/>
          <w:color w:val="000080"/>
          <w:sz w:val="28"/>
          <w:szCs w:val="28"/>
        </w:rPr>
        <w:t>20</w:t>
      </w:r>
      <w:r w:rsidRPr="00E1576D">
        <w:rPr>
          <w:rFonts w:ascii="Arial" w:eastAsia="Times New Roman" w:hAnsi="Arial" w:cs="Arial"/>
          <w:b/>
          <w:color w:val="000080"/>
          <w:sz w:val="28"/>
          <w:szCs w:val="28"/>
        </w:rPr>
        <w:t>• Page 8</w:t>
      </w:r>
      <w:r>
        <w:rPr>
          <w:rFonts w:ascii="Arial" w:eastAsia="Times New Roman" w:hAnsi="Arial" w:cs="Arial"/>
          <w:b/>
          <w:color w:val="000080"/>
          <w:sz w:val="28"/>
          <w:szCs w:val="28"/>
        </w:rPr>
        <w:t>50-856</w:t>
      </w:r>
      <w:bookmarkStart w:id="0" w:name="_GoBack"/>
      <w:bookmarkEnd w:id="0"/>
    </w:p>
    <w:p w:rsidR="00D572D4" w:rsidRPr="006F618E" w:rsidRDefault="00D572D4" w:rsidP="00D572D4">
      <w:pPr>
        <w:spacing w:after="120" w:line="240" w:lineRule="auto"/>
        <w:jc w:val="center"/>
        <w:rPr>
          <w:rFonts w:ascii="Times New Roman" w:eastAsia="Times New Roman" w:hAnsi="Times New Roman" w:cs="Times New Roman"/>
          <w:b/>
          <w:bCs/>
          <w:color w:val="000000"/>
          <w:sz w:val="36"/>
          <w:szCs w:val="36"/>
        </w:rPr>
      </w:pPr>
      <w:r w:rsidRPr="006F618E">
        <w:rPr>
          <w:rFonts w:ascii="Times New Roman" w:eastAsia="Times New Roman" w:hAnsi="Times New Roman" w:cs="Times New Roman"/>
          <w:b/>
          <w:bCs/>
          <w:color w:val="000000"/>
          <w:sz w:val="36"/>
          <w:szCs w:val="36"/>
        </w:rPr>
        <w:t>Title 10</w:t>
      </w:r>
      <w:r w:rsidRPr="006F618E">
        <w:rPr>
          <w:rFonts w:ascii="Times New Roman" w:eastAsia="Times New Roman" w:hAnsi="Times New Roman" w:cs="Times New Roman"/>
          <w:b/>
          <w:bCs/>
          <w:color w:val="000000"/>
          <w:sz w:val="36"/>
          <w:szCs w:val="36"/>
        </w:rPr>
        <w:br/>
        <w:t>MARYLAND DEPARTMENT OF HEALTH</w:t>
      </w:r>
    </w:p>
    <w:p w:rsidR="00D572D4" w:rsidRPr="00D572D4" w:rsidRDefault="00D572D4" w:rsidP="00D572D4">
      <w:pPr>
        <w:spacing w:after="80" w:line="240" w:lineRule="auto"/>
        <w:jc w:val="center"/>
        <w:rPr>
          <w:rFonts w:ascii="Times New Roman" w:eastAsia="Times New Roman" w:hAnsi="Times New Roman" w:cs="Times New Roman"/>
          <w:b/>
          <w:bCs/>
          <w:color w:val="000000"/>
          <w:sz w:val="28"/>
          <w:szCs w:val="28"/>
        </w:rPr>
      </w:pPr>
      <w:r w:rsidRPr="00D572D4">
        <w:rPr>
          <w:rFonts w:ascii="Times New Roman" w:eastAsia="Times New Roman" w:hAnsi="Times New Roman" w:cs="Times New Roman"/>
          <w:b/>
          <w:bCs/>
          <w:color w:val="000000"/>
          <w:sz w:val="28"/>
          <w:szCs w:val="28"/>
        </w:rPr>
        <w:t>Subtitle 22 DEVELOPMENTAL DISABILITIES</w:t>
      </w:r>
    </w:p>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Notice of Proposed Action</w:t>
      </w:r>
    </w:p>
    <w:p w:rsidR="00D572D4" w:rsidRPr="00D572D4" w:rsidRDefault="00D572D4" w:rsidP="00D572D4">
      <w:pPr>
        <w:spacing w:before="40" w:after="40" w:line="240" w:lineRule="auto"/>
        <w:jc w:val="center"/>
        <w:rPr>
          <w:rFonts w:ascii="Times New Roman" w:eastAsia="Times New Roman" w:hAnsi="Times New Roman" w:cs="Times New Roman"/>
          <w:color w:val="000000"/>
          <w:sz w:val="16"/>
          <w:szCs w:val="16"/>
        </w:rPr>
      </w:pPr>
      <w:r w:rsidRPr="00D572D4">
        <w:rPr>
          <w:rFonts w:ascii="Times New Roman" w:eastAsia="Times New Roman" w:hAnsi="Times New Roman" w:cs="Times New Roman"/>
          <w:color w:val="000000"/>
          <w:sz w:val="16"/>
          <w:szCs w:val="16"/>
        </w:rPr>
        <w:t>[19-186-P]</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The Secretary of Health proposes to amend:</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(1) Regulations </w:t>
      </w:r>
      <w:r w:rsidRPr="00D572D4">
        <w:rPr>
          <w:rFonts w:ascii="Times New Roman" w:eastAsia="Times New Roman" w:hAnsi="Times New Roman" w:cs="Times New Roman"/>
          <w:b/>
          <w:bCs/>
          <w:color w:val="000000"/>
          <w:sz w:val="18"/>
          <w:szCs w:val="18"/>
        </w:rPr>
        <w:t>.06—.08</w:t>
      </w:r>
      <w:r w:rsidRPr="00D572D4">
        <w:rPr>
          <w:rFonts w:ascii="Times New Roman" w:eastAsia="Times New Roman" w:hAnsi="Times New Roman" w:cs="Times New Roman"/>
          <w:color w:val="000000"/>
          <w:sz w:val="18"/>
          <w:szCs w:val="18"/>
        </w:rPr>
        <w:t> under </w:t>
      </w:r>
      <w:r w:rsidRPr="00D572D4">
        <w:rPr>
          <w:rFonts w:ascii="Times New Roman" w:eastAsia="Times New Roman" w:hAnsi="Times New Roman" w:cs="Times New Roman"/>
          <w:b/>
          <w:bCs/>
          <w:color w:val="000000"/>
          <w:sz w:val="18"/>
          <w:szCs w:val="18"/>
        </w:rPr>
        <w:t>COMAR </w:t>
      </w:r>
      <w:bookmarkStart w:id="1" w:name="_Toc20227555"/>
      <w:bookmarkEnd w:id="1"/>
      <w:r w:rsidRPr="00D572D4">
        <w:rPr>
          <w:rFonts w:ascii="Times New Roman" w:eastAsia="Times New Roman" w:hAnsi="Times New Roman" w:cs="Times New Roman"/>
          <w:b/>
          <w:bCs/>
          <w:color w:val="000000"/>
          <w:sz w:val="18"/>
          <w:szCs w:val="18"/>
        </w:rPr>
        <w:t>10.22.17 Fee Payment System for Licensed Residential and Day Programs</w:t>
      </w:r>
      <w:r w:rsidRPr="00D572D4">
        <w:rPr>
          <w:rFonts w:ascii="Times New Roman" w:eastAsia="Times New Roman" w:hAnsi="Times New Roman" w:cs="Times New Roman"/>
          <w:color w:val="000000"/>
          <w:sz w:val="18"/>
          <w:szCs w:val="18"/>
        </w:rPr>
        <w:t>; and</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(2) Regulation </w:t>
      </w:r>
      <w:r w:rsidRPr="00D572D4">
        <w:rPr>
          <w:rFonts w:ascii="Times New Roman" w:eastAsia="Times New Roman" w:hAnsi="Times New Roman" w:cs="Times New Roman"/>
          <w:b/>
          <w:bCs/>
          <w:color w:val="000000"/>
          <w:sz w:val="18"/>
          <w:szCs w:val="18"/>
        </w:rPr>
        <w:t>.04</w:t>
      </w:r>
      <w:r w:rsidRPr="00D572D4">
        <w:rPr>
          <w:rFonts w:ascii="Times New Roman" w:eastAsia="Times New Roman" w:hAnsi="Times New Roman" w:cs="Times New Roman"/>
          <w:color w:val="000000"/>
          <w:sz w:val="18"/>
          <w:szCs w:val="18"/>
        </w:rPr>
        <w:t> under</w:t>
      </w:r>
      <w:bookmarkStart w:id="2" w:name="_Toc20227556"/>
      <w:bookmarkEnd w:id="2"/>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b/>
          <w:bCs/>
          <w:color w:val="000000"/>
          <w:sz w:val="18"/>
          <w:szCs w:val="18"/>
        </w:rPr>
        <w:t>COMAR 10.22.18 Community Supported Living Arrangements Payment System</w:t>
      </w:r>
      <w:r w:rsidRPr="00D572D4">
        <w:rPr>
          <w:rFonts w:ascii="Times New Roman" w:eastAsia="Times New Roman" w:hAnsi="Times New Roman" w:cs="Times New Roman"/>
          <w:color w:val="000000"/>
          <w:sz w:val="18"/>
          <w:szCs w:val="18"/>
        </w:rPr>
        <w:t>.</w:t>
      </w:r>
    </w:p>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Statement of Purpose</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The purpose of this action is to establish the FY20 reimbursement rates for licensed residential and day programs and personal support services as part of community supported living arrangements (CSLA) services in accordance with Health-General Article, §7-307(d), Annotated Code of Maryland.</w:t>
      </w:r>
    </w:p>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Comparison to Federal Standards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There is no corresponding federal standard to this proposed action.</w:t>
      </w:r>
    </w:p>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Estimate of Economic Impact</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b/>
          <w:bCs/>
          <w:color w:val="000000"/>
          <w:sz w:val="18"/>
          <w:szCs w:val="18"/>
        </w:rPr>
        <w:t>I. Summary of Economic Impact. </w:t>
      </w:r>
      <w:r w:rsidRPr="00D572D4">
        <w:rPr>
          <w:rFonts w:ascii="Times New Roman" w:eastAsia="Times New Roman" w:hAnsi="Times New Roman" w:cs="Times New Roman"/>
          <w:color w:val="000000"/>
          <w:sz w:val="18"/>
          <w:szCs w:val="18"/>
        </w:rPr>
        <w:t>The proposed action increases the rate paid to providers. The proposed action includes a 3.5 percent COLA for providers. The total impact of this increase for the agency and the regulated industry equals $42,531,483.</w:t>
      </w:r>
    </w:p>
    <w:p w:rsidR="00D572D4" w:rsidRPr="00D572D4" w:rsidRDefault="00D572D4" w:rsidP="00D572D4">
      <w:pPr>
        <w:spacing w:after="0" w:line="240" w:lineRule="auto"/>
        <w:jc w:val="both"/>
        <w:rPr>
          <w:rFonts w:ascii="Times New Roman" w:eastAsia="Times New Roman" w:hAnsi="Times New Roman" w:cs="Times New Roman"/>
          <w:color w:val="000000"/>
          <w:sz w:val="18"/>
          <w:szCs w:val="18"/>
        </w:rPr>
      </w:pPr>
      <w:r w:rsidRPr="00D572D4">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193"/>
        <w:gridCol w:w="2670"/>
        <w:gridCol w:w="2497"/>
      </w:tblGrid>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Revenue (R+/R-)</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 </w: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b/>
                <w:bCs/>
                <w:sz w:val="18"/>
                <w:szCs w:val="18"/>
              </w:rPr>
              <w:t>II. Types of Economic Impact.</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Expenditure</w:t>
            </w:r>
          </w:p>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(E+/E-)</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Magnitude</w: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 </w:t>
            </w:r>
          </w:p>
        </w:tc>
        <w:tc>
          <w:tcPr>
            <w:tcW w:w="2650" w:type="pct"/>
            <w:gridSpan w:val="2"/>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pict>
                <v:rect id="_x0000_i1025" style="width:468pt;height:.75pt" o:hrstd="t" o:hrnoshade="t" o:hr="t" fillcolor="black" stroked="f"/>
              </w:pic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20"/>
                <w:szCs w:val="20"/>
              </w:rPr>
            </w:pP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20"/>
                <w:szCs w:val="20"/>
              </w:rPr>
            </w:pP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A. On issuing agency:</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(E+)</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$42,531,483</w: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B. On other State agencies:</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NONE</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C. On local governments:</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NONE</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r>
      <w:tr w:rsidR="00D572D4" w:rsidRPr="00D572D4" w:rsidTr="00D572D4">
        <w:trPr>
          <w:tblCellSpacing w:w="15" w:type="dxa"/>
        </w:trPr>
        <w:tc>
          <w:tcPr>
            <w:tcW w:w="4900" w:type="pct"/>
            <w:gridSpan w:val="3"/>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 </w:t>
            </w:r>
          </w:p>
        </w:tc>
      </w:tr>
    </w:tbl>
    <w:p w:rsidR="00D572D4" w:rsidRPr="00D572D4" w:rsidRDefault="00D572D4" w:rsidP="00D572D4">
      <w:pPr>
        <w:spacing w:after="0" w:line="240" w:lineRule="auto"/>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2"/>
          <w:szCs w:val="2"/>
        </w:rPr>
        <w:t> </w:t>
      </w:r>
    </w:p>
    <w:tbl>
      <w:tblPr>
        <w:tblW w:w="5000" w:type="pct"/>
        <w:tblCellSpacing w:w="15" w:type="dxa"/>
        <w:tblCellMar>
          <w:left w:w="0" w:type="dxa"/>
          <w:right w:w="0" w:type="dxa"/>
        </w:tblCellMar>
        <w:tblLook w:val="04A0" w:firstRow="1" w:lastRow="0" w:firstColumn="1" w:lastColumn="0" w:noHBand="0" w:noVBand="1"/>
      </w:tblPr>
      <w:tblGrid>
        <w:gridCol w:w="4193"/>
        <w:gridCol w:w="2670"/>
        <w:gridCol w:w="2497"/>
      </w:tblGrid>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 </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Benefit (+)</w:t>
            </w:r>
            <w:r w:rsidRPr="00D572D4">
              <w:rPr>
                <w:rFonts w:ascii="Times" w:eastAsia="Times New Roman" w:hAnsi="Times" w:cs="Times"/>
                <w:color w:val="000000"/>
                <w:sz w:val="18"/>
                <w:szCs w:val="18"/>
              </w:rPr>
              <w:br/>
              <w:t>Cost (-)</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Magnitude</w: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 </w:t>
            </w:r>
          </w:p>
        </w:tc>
        <w:tc>
          <w:tcPr>
            <w:tcW w:w="2650" w:type="pct"/>
            <w:gridSpan w:val="2"/>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pict>
                <v:rect id="_x0000_i1026" style="width:468pt;height:.75pt" o:hrstd="t" o:hrnoshade="t" o:hr="t" fillcolor="black" stroked="f"/>
              </w:pic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20"/>
                <w:szCs w:val="20"/>
              </w:rPr>
            </w:pP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20"/>
                <w:szCs w:val="20"/>
              </w:rPr>
            </w:pP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D. On regulated industries or trade groups:</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$42,531,483</w:t>
            </w: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E. On other industries or trade groups:</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NONE</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r>
      <w:tr w:rsidR="00D572D4" w:rsidRPr="00D572D4" w:rsidTr="00D572D4">
        <w:trPr>
          <w:tblCellSpacing w:w="15" w:type="dxa"/>
        </w:trPr>
        <w:tc>
          <w:tcPr>
            <w:tcW w:w="2200" w:type="pct"/>
            <w:tcMar>
              <w:top w:w="15" w:type="dxa"/>
              <w:left w:w="15" w:type="dxa"/>
              <w:bottom w:w="15" w:type="dxa"/>
              <w:right w:w="15" w:type="dxa"/>
            </w:tcMar>
            <w:vAlign w:val="bottom"/>
            <w:hideMark/>
          </w:tcPr>
          <w:p w:rsidR="00D572D4" w:rsidRPr="00D572D4" w:rsidRDefault="00D572D4" w:rsidP="00D572D4">
            <w:pPr>
              <w:spacing w:after="0" w:line="240" w:lineRule="auto"/>
              <w:ind w:firstLine="216"/>
              <w:rPr>
                <w:rFonts w:ascii="Times New Roman" w:eastAsia="Times New Roman" w:hAnsi="Times New Roman" w:cs="Times New Roman"/>
                <w:sz w:val="18"/>
                <w:szCs w:val="18"/>
              </w:rPr>
            </w:pPr>
            <w:r w:rsidRPr="00D572D4">
              <w:rPr>
                <w:rFonts w:ascii="Times New Roman" w:eastAsia="Times New Roman" w:hAnsi="Times New Roman" w:cs="Times New Roman"/>
                <w:sz w:val="18"/>
                <w:szCs w:val="18"/>
              </w:rPr>
              <w:t>F. Direct and indirect effects on public:</w:t>
            </w:r>
          </w:p>
        </w:tc>
        <w:tc>
          <w:tcPr>
            <w:tcW w:w="14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r w:rsidRPr="00D572D4">
              <w:rPr>
                <w:rFonts w:ascii="Times" w:eastAsia="Times New Roman" w:hAnsi="Times" w:cs="Times"/>
                <w:color w:val="000000"/>
                <w:sz w:val="18"/>
                <w:szCs w:val="18"/>
              </w:rPr>
              <w:t>NONE</w:t>
            </w:r>
          </w:p>
        </w:tc>
        <w:tc>
          <w:tcPr>
            <w:tcW w:w="1200" w:type="pct"/>
            <w:tcMar>
              <w:top w:w="15" w:type="dxa"/>
              <w:left w:w="15" w:type="dxa"/>
              <w:bottom w:w="15" w:type="dxa"/>
              <w:right w:w="15"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r>
      <w:tr w:rsidR="00D572D4" w:rsidRPr="00D572D4" w:rsidTr="00D572D4">
        <w:trPr>
          <w:tblCellSpacing w:w="15" w:type="dxa"/>
        </w:trPr>
        <w:tc>
          <w:tcPr>
            <w:tcW w:w="4900" w:type="pct"/>
            <w:gridSpan w:val="3"/>
            <w:tcMar>
              <w:top w:w="15" w:type="dxa"/>
              <w:left w:w="15" w:type="dxa"/>
              <w:bottom w:w="15" w:type="dxa"/>
              <w:right w:w="15" w:type="dxa"/>
            </w:tcMar>
            <w:vAlign w:val="bottom"/>
            <w:hideMark/>
          </w:tcPr>
          <w:p w:rsidR="00D572D4" w:rsidRPr="00D572D4" w:rsidRDefault="00D572D4" w:rsidP="00D572D4">
            <w:pPr>
              <w:spacing w:after="0" w:line="240" w:lineRule="auto"/>
              <w:ind w:firstLine="216"/>
              <w:jc w:val="both"/>
              <w:rPr>
                <w:rFonts w:ascii="Times New Roman" w:eastAsia="Times New Roman" w:hAnsi="Times New Roman" w:cs="Times New Roman"/>
                <w:sz w:val="18"/>
                <w:szCs w:val="18"/>
              </w:rPr>
            </w:pPr>
            <w:r w:rsidRPr="00D572D4">
              <w:rPr>
                <w:rFonts w:ascii="Times New Roman" w:eastAsia="Times New Roman" w:hAnsi="Times New Roman" w:cs="Times New Roman"/>
                <w:b/>
                <w:bCs/>
                <w:sz w:val="18"/>
                <w:szCs w:val="18"/>
              </w:rPr>
              <w:t>III. Assumptions.</w:t>
            </w:r>
            <w:r w:rsidRPr="00D572D4">
              <w:rPr>
                <w:rFonts w:ascii="Times New Roman" w:eastAsia="Times New Roman" w:hAnsi="Times New Roman" w:cs="Times New Roman"/>
                <w:sz w:val="18"/>
                <w:szCs w:val="18"/>
              </w:rPr>
              <w:t> (Identified by Impact Letter and Number from Section II.)</w:t>
            </w:r>
          </w:p>
        </w:tc>
      </w:tr>
      <w:tr w:rsidR="00D572D4" w:rsidRPr="00D572D4" w:rsidTr="00D572D4">
        <w:trPr>
          <w:tblCellSpacing w:w="15" w:type="dxa"/>
        </w:trPr>
        <w:tc>
          <w:tcPr>
            <w:tcW w:w="4900" w:type="pct"/>
            <w:gridSpan w:val="3"/>
            <w:tcMar>
              <w:top w:w="15" w:type="dxa"/>
              <w:left w:w="15" w:type="dxa"/>
              <w:bottom w:w="15" w:type="dxa"/>
              <w:right w:w="15" w:type="dxa"/>
            </w:tcMar>
            <w:vAlign w:val="bottom"/>
            <w:hideMark/>
          </w:tcPr>
          <w:p w:rsidR="00D572D4" w:rsidRPr="00D572D4" w:rsidRDefault="00D572D4" w:rsidP="00D572D4">
            <w:pPr>
              <w:spacing w:after="0" w:line="240" w:lineRule="auto"/>
              <w:ind w:firstLine="216"/>
              <w:jc w:val="both"/>
              <w:rPr>
                <w:rFonts w:ascii="Times New Roman" w:eastAsia="Times New Roman" w:hAnsi="Times New Roman" w:cs="Times New Roman"/>
                <w:sz w:val="18"/>
                <w:szCs w:val="18"/>
              </w:rPr>
            </w:pPr>
            <w:r w:rsidRPr="00D572D4">
              <w:rPr>
                <w:rFonts w:ascii="Times" w:eastAsia="Times New Roman" w:hAnsi="Times" w:cs="Times"/>
                <w:color w:val="000000"/>
                <w:sz w:val="18"/>
                <w:szCs w:val="18"/>
              </w:rPr>
              <w:t>A. A 3.5 percent increase in rates will cause the expenditures of the Developmental Disabilities Administration (DDA) for community services to increase by an estimated $42,531,483 in total funds. The total general funds impact of these changes is $22,512,389.</w:t>
            </w:r>
          </w:p>
        </w:tc>
      </w:tr>
      <w:tr w:rsidR="00D572D4" w:rsidRPr="00D572D4" w:rsidTr="00D572D4">
        <w:trPr>
          <w:tblCellSpacing w:w="15" w:type="dxa"/>
        </w:trPr>
        <w:tc>
          <w:tcPr>
            <w:tcW w:w="4900" w:type="pct"/>
            <w:gridSpan w:val="3"/>
            <w:tcMar>
              <w:top w:w="15" w:type="dxa"/>
              <w:left w:w="15" w:type="dxa"/>
              <w:bottom w:w="15" w:type="dxa"/>
              <w:right w:w="15" w:type="dxa"/>
            </w:tcMar>
            <w:vAlign w:val="bottom"/>
            <w:hideMark/>
          </w:tcPr>
          <w:p w:rsidR="00D572D4" w:rsidRPr="00D572D4" w:rsidRDefault="00D572D4" w:rsidP="00D572D4">
            <w:pPr>
              <w:spacing w:after="0" w:line="240" w:lineRule="auto"/>
              <w:ind w:firstLine="216"/>
              <w:jc w:val="both"/>
              <w:rPr>
                <w:rFonts w:ascii="Times New Roman" w:eastAsia="Times New Roman" w:hAnsi="Times New Roman" w:cs="Times New Roman"/>
                <w:sz w:val="18"/>
                <w:szCs w:val="18"/>
              </w:rPr>
            </w:pPr>
            <w:r w:rsidRPr="00D572D4">
              <w:rPr>
                <w:rFonts w:ascii="Times" w:eastAsia="Times New Roman" w:hAnsi="Times" w:cs="Times"/>
                <w:color w:val="000000"/>
                <w:sz w:val="18"/>
                <w:szCs w:val="18"/>
              </w:rPr>
              <w:t>D. Regulated provider agencies will benefit from increases to rates by an estimated $42,531,483 in total funds ($22,512,389 in general funds).</w:t>
            </w:r>
          </w:p>
        </w:tc>
      </w:tr>
    </w:tbl>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Economic Impact on Small Businesses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The proposed action has a meaningful economic impact on small businesses. An analysis of this economic impact follows.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The proposed action has a meaningful economic impact on small businesses because the higher reimbursement rates infuse dollars into provider agency entities that provide these services in the community.</w:t>
      </w:r>
    </w:p>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Impact on Individuals with Disabilities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lastRenderedPageBreak/>
        <w:t>The proposed action has no impact on individuals with disabilities.</w:t>
      </w:r>
    </w:p>
    <w:p w:rsidR="00D572D4" w:rsidRPr="00D572D4" w:rsidRDefault="00D572D4" w:rsidP="00D572D4">
      <w:pPr>
        <w:spacing w:before="120" w:after="0" w:line="240" w:lineRule="auto"/>
        <w:jc w:val="center"/>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Opportunity for Public Comment</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October 28, 2019. A public hearing has not been scheduled.</w:t>
      </w:r>
    </w:p>
    <w:p w:rsidR="00D572D4" w:rsidRPr="00D572D4" w:rsidRDefault="00D572D4" w:rsidP="00D572D4">
      <w:pPr>
        <w:spacing w:after="0" w:line="240" w:lineRule="auto"/>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 </w:t>
      </w:r>
    </w:p>
    <w:p w:rsidR="00D572D4" w:rsidRPr="00D572D4" w:rsidRDefault="00D572D4" w:rsidP="00D572D4">
      <w:pPr>
        <w:spacing w:after="120" w:line="240" w:lineRule="auto"/>
        <w:ind w:left="158" w:hanging="158"/>
        <w:jc w:val="both"/>
        <w:rPr>
          <w:rFonts w:ascii="Times New Roman" w:eastAsia="Times New Roman" w:hAnsi="Times New Roman" w:cs="Times New Roman"/>
          <w:b/>
          <w:bCs/>
          <w:color w:val="000000"/>
          <w:sz w:val="27"/>
          <w:szCs w:val="27"/>
        </w:rPr>
      </w:pPr>
      <w:r w:rsidRPr="00D572D4">
        <w:rPr>
          <w:rFonts w:ascii="Times New Roman" w:eastAsia="Times New Roman" w:hAnsi="Times New Roman" w:cs="Times New Roman"/>
          <w:b/>
          <w:bCs/>
          <w:color w:val="000000"/>
          <w:sz w:val="27"/>
          <w:szCs w:val="27"/>
        </w:rPr>
        <w:t>10.22.17 Fee Payment System for Licensed Residential and Day Programs</w:t>
      </w:r>
    </w:p>
    <w:p w:rsidR="00D572D4" w:rsidRPr="00D572D4" w:rsidRDefault="00D572D4" w:rsidP="00D572D4">
      <w:pPr>
        <w:spacing w:before="120" w:after="0" w:line="240" w:lineRule="auto"/>
        <w:jc w:val="center"/>
        <w:rPr>
          <w:rFonts w:ascii="Times New Roman" w:eastAsia="Times New Roman" w:hAnsi="Times New Roman" w:cs="Times New Roman"/>
          <w:color w:val="000000"/>
          <w:sz w:val="16"/>
          <w:szCs w:val="16"/>
        </w:rPr>
      </w:pPr>
      <w:r w:rsidRPr="00D572D4">
        <w:rPr>
          <w:rFonts w:ascii="Times New Roman" w:eastAsia="Times New Roman" w:hAnsi="Times New Roman" w:cs="Times New Roman"/>
          <w:color w:val="000000"/>
          <w:sz w:val="16"/>
          <w:szCs w:val="16"/>
        </w:rPr>
        <w:t>Authority: Health-General Article, §§2-104(b), 7-306.1, 7-910(c), 15-105, 15-107, and 16-201, Annotated Code of Maryland</w:t>
      </w:r>
    </w:p>
    <w:p w:rsidR="00D572D4" w:rsidRPr="00D572D4" w:rsidRDefault="00D572D4" w:rsidP="00D572D4">
      <w:pPr>
        <w:spacing w:before="140" w:after="0" w:line="240" w:lineRule="auto"/>
        <w:ind w:left="533" w:hanging="533"/>
        <w:jc w:val="both"/>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.06 Determination of Individual Component.</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A.—F. (text unchanged)</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G.</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(proposed for repeal)</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8"/>
          <w:szCs w:val="8"/>
        </w:rPr>
        <w:t> </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G. Table of Individual Components Effective July 1, 2019.</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(1) Residential Programs.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100" w:type="pct"/>
        <w:tblCellMar>
          <w:left w:w="0" w:type="dxa"/>
          <w:right w:w="0" w:type="dxa"/>
        </w:tblCellMar>
        <w:tblLook w:val="04A0" w:firstRow="1" w:lastRow="0" w:firstColumn="1" w:lastColumn="0" w:noHBand="0" w:noVBand="1"/>
      </w:tblPr>
      <w:tblGrid>
        <w:gridCol w:w="1715"/>
        <w:gridCol w:w="381"/>
        <w:gridCol w:w="1429"/>
        <w:gridCol w:w="1429"/>
        <w:gridCol w:w="1429"/>
        <w:gridCol w:w="1334"/>
        <w:gridCol w:w="1810"/>
      </w:tblGrid>
      <w:tr w:rsidR="00D572D4" w:rsidRPr="00D572D4" w:rsidTr="00D572D4">
        <w:trPr>
          <w:trHeight w:val="20"/>
        </w:trPr>
        <w:tc>
          <w:tcPr>
            <w:tcW w:w="5000" w:type="pct"/>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1 — Baltimore Metro (Baltimore City, Baltimore County, Anne Arundel, Harford, Howard, Carroll, Queen Anne’s)</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$22.00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$39.38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$67.14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$108.76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$155.95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$24.06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$41.45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$69.22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$110.83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$158.00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$27.39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$72.51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$114.15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$161.32</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$31.88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$49.27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$77.00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$118.64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$165.81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$53.21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$80.98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$122.60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$169.76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2 — Washington D.C. Metro (Calvert, Frederick, Prince George’s, Montgomery, Charles)</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$23.74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$42.49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$72.44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$117.34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$168.25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$25.96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$74.68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$119.57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$170.47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$29.55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$48.30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$78.23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$123.16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$174.05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$34.40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$53.16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$83.08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$128.00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$178.89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$38.65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$57.41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$87.37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$132.27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$183.15</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3 — Rural (St. Mary's, Caroline, Garrett, Dorchester Kent, Somerset, Talbot, Wicomico, Worcester)</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$22.00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$39.38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$67.14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$108.76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$155.95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$24.06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$41.45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$69.22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$110.83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$158.00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$27.39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$72.51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$114.15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$161.32</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$31.88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$49.27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$77.00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$118.64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$165.81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$53.21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$80.98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$122.60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$169.76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4 — Pittsburgh Metro (Allegany)</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$22.00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$39.38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$67.14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$108.76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$155.95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$24.06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$41.45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$69.22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$110.83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$158.00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$27.39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$72.51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$114.15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$161.32</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$31.88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$49.27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$77.00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$118.64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$165.81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$53.21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$80.98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$122.60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$169.76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5 — Wilmington Metro (Cecil)</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$41.86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$71.36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$115.60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$165.76</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$44.06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$73.57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$117.80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$167.94</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$47.59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$77.07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$121.33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$171.47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$33.89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$52.37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$81.84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$126.10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$176.24</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$56.56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$86.07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$130.31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$180.44</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6 — Hagerstown Metro (Washington)</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$22.00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$39.38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$67.14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$108.76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$155.95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$24.06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$41.45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$69.22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$110.83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$158.00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$27.39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$72.51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$114.15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$161.32</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$31.88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$49.27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$77.00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$118.64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$165.81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$53.21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$80.98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$122.60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$169.76</w:t>
            </w:r>
          </w:p>
        </w:tc>
      </w:tr>
    </w:tbl>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(2) Day Programs.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100" w:type="pct"/>
        <w:tblCellMar>
          <w:left w:w="0" w:type="dxa"/>
          <w:right w:w="0" w:type="dxa"/>
        </w:tblCellMar>
        <w:tblLook w:val="04A0" w:firstRow="1" w:lastRow="0" w:firstColumn="1" w:lastColumn="0" w:noHBand="0" w:noVBand="1"/>
      </w:tblPr>
      <w:tblGrid>
        <w:gridCol w:w="1806"/>
        <w:gridCol w:w="307"/>
        <w:gridCol w:w="1425"/>
        <w:gridCol w:w="1425"/>
        <w:gridCol w:w="1521"/>
        <w:gridCol w:w="1331"/>
        <w:gridCol w:w="1712"/>
      </w:tblGrid>
      <w:tr w:rsidR="00D572D4" w:rsidRPr="00D572D4" w:rsidTr="00D572D4">
        <w:trPr>
          <w:trHeight w:val="20"/>
        </w:trPr>
        <w:tc>
          <w:tcPr>
            <w:tcW w:w="0" w:type="auto"/>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1 — Baltimore Metro (Baltimore City, Baltimore County, Anne Arundel, Harford, Howard, Carroll, Queen Anne’s)</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15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2 — Washington D.C. Metro (Calvert, Frederick, Prince George’s, Montgomery, Charles)</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15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$24.24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$28.97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$38.16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$47.60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$66.28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$26.76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$40.70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$50.15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$68.81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$54.23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$72.88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$36.38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$59.75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$78.40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$41.24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$45.93</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$55.13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$64.59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$83.25</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3 — Rural (St. Mary's, Caroline, Garrett, Dorchester Kent, Somerset, Talbot, Wicomico, Worcester)</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15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7"/>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4 — Pittsburgh Metro (Allegany)</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15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5 — Wilmington Metro (Cecil)</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15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$23.88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$37.59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$46.90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$65.29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$26.36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$31.00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$40.09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$49.40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$67.79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$30.39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$53.42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$71.80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$40.46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$49.53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$58.86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$77.24</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$40.62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$45.25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$54.31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$63.64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$82.01</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6 — Hagerstown Metro (Washington)</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15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1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bl>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(3) Supported Employment Programs.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150" w:type="pct"/>
        <w:tblCellMar>
          <w:left w:w="0" w:type="dxa"/>
          <w:right w:w="0" w:type="dxa"/>
        </w:tblCellMar>
        <w:tblLook w:val="04A0" w:firstRow="1" w:lastRow="0" w:firstColumn="1" w:lastColumn="0" w:noHBand="0" w:noVBand="1"/>
      </w:tblPr>
      <w:tblGrid>
        <w:gridCol w:w="1731"/>
        <w:gridCol w:w="385"/>
        <w:gridCol w:w="1347"/>
        <w:gridCol w:w="1539"/>
        <w:gridCol w:w="1443"/>
        <w:gridCol w:w="1347"/>
        <w:gridCol w:w="1828"/>
      </w:tblGrid>
      <w:tr w:rsidR="00D572D4" w:rsidRPr="00D572D4" w:rsidTr="00D572D4">
        <w:trPr>
          <w:trHeight w:val="20"/>
        </w:trPr>
        <w:tc>
          <w:tcPr>
            <w:tcW w:w="5000" w:type="pct"/>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1 — Baltimore Metro (Baltimore City, Baltimore County, Anne Arundel, Harford, Howard, Carroll, Queen Anne’s)</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0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2 — Washington D.C. Metro (Calvert, Frederick, Prince George’s, Montgomery, Charles)</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0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$24.24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$28.97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$38.16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$47.60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$66.28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$26.76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$31.47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$40.70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$50.15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$68.81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$54.23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$72.88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$36.38</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$59.75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$78.40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$41.24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$45.93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$55.13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$64.59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$83.25</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3 — Rural (St. Mary's, Caroline, Garrett, Dorchester Kent, Somerset, Talbot, Wicomico, Worcester)</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0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4 — Pittsburgh Metro (Allegany)</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0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5 — Wilmington Metro (Cecil)</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0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$23.88</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$37.59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$46.90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$65.29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$26.36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$31.00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$40.09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$49.40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$67.79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$30.39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$53.42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$71.80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$40.46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$49.53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$58.86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$77.24</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$40.62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$45.25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$54.31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$63.64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$82.01</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6 — Hagerstown Metro (Washington)</w:t>
            </w:r>
          </w:p>
        </w:tc>
      </w:tr>
      <w:tr w:rsidR="00D572D4" w:rsidRPr="00D572D4" w:rsidTr="00D572D4">
        <w:trPr>
          <w:trHeight w:val="20"/>
        </w:trPr>
        <w:tc>
          <w:tcPr>
            <w:tcW w:w="90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80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bl>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(4) Community Learning Services.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050" w:type="pct"/>
        <w:tblCellMar>
          <w:left w:w="0" w:type="dxa"/>
          <w:right w:w="0" w:type="dxa"/>
        </w:tblCellMar>
        <w:tblLook w:val="04A0" w:firstRow="1" w:lastRow="0" w:firstColumn="1" w:lastColumn="0" w:noHBand="0" w:noVBand="1"/>
      </w:tblPr>
      <w:tblGrid>
        <w:gridCol w:w="1788"/>
        <w:gridCol w:w="374"/>
        <w:gridCol w:w="1223"/>
        <w:gridCol w:w="1506"/>
        <w:gridCol w:w="1412"/>
        <w:gridCol w:w="1341"/>
        <w:gridCol w:w="1789"/>
      </w:tblGrid>
      <w:tr w:rsidR="00D572D4" w:rsidRPr="00D572D4" w:rsidTr="00D572D4">
        <w:trPr>
          <w:trHeight w:val="20"/>
        </w:trPr>
        <w:tc>
          <w:tcPr>
            <w:tcW w:w="5000" w:type="pct"/>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1 — Baltimore Metro (Baltimore City, Baltimore County, Anne Arundel, Harford, Howard, Carroll, Queen Anne’s)</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2 — Washington D.C. Metro (Calvert, Frederick, Prince George’s, Montgomery, Charles)</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$24.24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$28.97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$38.16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$47.60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$66.28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$26.76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$31.47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$40.70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$50.15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$68.81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$54.23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$72.88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$36.38</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$59.75</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$78.40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$41.24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$45.93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$55.13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$64.59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$83.25</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3 — Rural (St. Mary's, Caroline, Garrett, Dorchester Kent, Somerset, Talbot, Wicomico, Worcester)</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              </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4 — Pittsburgh Metro (Allegany)</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5 — Wilmington Metro (Cecil)</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$23.88</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$37.59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$46.90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$65.29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$26.36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$31.00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$40.09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$49.40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$67.79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$30.39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$53.42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$71.80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$40.46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$49.53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$58.86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$77.24</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$40.62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$45.25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$54.31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$63.64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$82.01</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6 — Hagerstown Metro (Washington)</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bl>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(5) Employment Discovery and Customization.</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100" w:type="pct"/>
        <w:tblCellMar>
          <w:left w:w="0" w:type="dxa"/>
          <w:right w:w="0" w:type="dxa"/>
        </w:tblCellMar>
        <w:tblLook w:val="04A0" w:firstRow="1" w:lastRow="0" w:firstColumn="1" w:lastColumn="0" w:noHBand="0" w:noVBand="1"/>
      </w:tblPr>
      <w:tblGrid>
        <w:gridCol w:w="1811"/>
        <w:gridCol w:w="381"/>
        <w:gridCol w:w="1239"/>
        <w:gridCol w:w="1524"/>
        <w:gridCol w:w="1524"/>
        <w:gridCol w:w="1524"/>
        <w:gridCol w:w="1524"/>
      </w:tblGrid>
      <w:tr w:rsidR="00D572D4" w:rsidRPr="00D572D4" w:rsidTr="00D572D4">
        <w:trPr>
          <w:trHeight w:val="20"/>
        </w:trPr>
        <w:tc>
          <w:tcPr>
            <w:tcW w:w="5000" w:type="pct"/>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1 — Baltimore Metro (Baltimore City, Baltimore County, Anne Arundel, Harford, Howard, Carroll, Queen Anne’s)</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2 — Washington D.C. Metro (Calvert, Frederick, Prince George’s, Montgomery, Charles)</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$24.24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$28.97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$38.16</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$47.60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$66.28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$26.76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$40.70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$50.15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$68.81</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$44.77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$54.23</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$72.88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$36.38</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$50.28</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$59.75</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$78.40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$41.24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$45.93</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$55.13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$64.59</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$83.25</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3 — Rural (St. Mary's, Caroline, Garrett, Dorchester Kent, Somerset, Talbot, Wicomico, Worcester)</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4 — Pittsburgh Metro (Allegany)</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              </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r w:rsidR="00D572D4" w:rsidRPr="00D572D4" w:rsidTr="00D572D4">
        <w:trPr>
          <w:trHeight w:val="20"/>
        </w:trPr>
        <w:tc>
          <w:tcPr>
            <w:tcW w:w="5000" w:type="pct"/>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5 — Wilmington Metro (Cecil)</w:t>
            </w: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$23.88</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$37.59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$46.90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$65.29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$26.36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$31.00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$40.09</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$49.40</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$67.79</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$30.39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$53.42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$71.80</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$35.84</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$40.46</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$49.53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$58.86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$77.24</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$40.62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$45.25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$54.31</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$63.64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$82.01</w:t>
            </w:r>
          </w:p>
        </w:tc>
      </w:tr>
      <w:tr w:rsidR="00D572D4" w:rsidRPr="00D572D4" w:rsidTr="00D572D4">
        <w:trPr>
          <w:trHeight w:val="20"/>
        </w:trPr>
        <w:tc>
          <w:tcPr>
            <w:tcW w:w="4200" w:type="pct"/>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Region 6 — Hagerstown Metro (Washington)</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r>
      <w:tr w:rsidR="00D572D4" w:rsidRPr="00D572D4" w:rsidTr="00D572D4">
        <w:trPr>
          <w:trHeight w:val="20"/>
        </w:trPr>
        <w:tc>
          <w:tcPr>
            <w:tcW w:w="950" w:type="pct"/>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Health/Medical</w:t>
            </w:r>
          </w:p>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Level</w:t>
            </w:r>
          </w:p>
        </w:tc>
        <w:tc>
          <w:tcPr>
            <w:tcW w:w="200" w:type="pct"/>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3750" w:type="pct"/>
            <w:gridSpan w:val="5"/>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Supervision/Assistance Level</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0" w:type="auto"/>
            <w:vMerge/>
            <w:tcBorders>
              <w:top w:val="nil"/>
              <w:left w:val="nil"/>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$22.47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$26.85</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$35.37</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$44.12</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$61.43</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$29.17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$37.72</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$46.48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$63.78</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$28.59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$32.99</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$41.50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$50.26</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$67.55</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$33.72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$38.07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$46.60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$55.38</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$72.67</w:t>
            </w:r>
          </w:p>
        </w:tc>
      </w:tr>
      <w:tr w:rsidR="00D572D4" w:rsidRPr="00D572D4" w:rsidTr="00D572D4">
        <w:trPr>
          <w:trHeight w:val="20"/>
        </w:trPr>
        <w:tc>
          <w:tcPr>
            <w:tcW w:w="0" w:type="auto"/>
            <w:vMerge/>
            <w:tcBorders>
              <w:top w:val="nil"/>
              <w:left w:val="single" w:sz="8" w:space="0" w:color="auto"/>
              <w:bottom w:val="single" w:sz="8" w:space="0" w:color="auto"/>
              <w:right w:val="single" w:sz="8" w:space="0" w:color="auto"/>
            </w:tcBorders>
            <w:vAlign w:val="center"/>
            <w:hideMark/>
          </w:tcPr>
          <w:p w:rsidR="00D572D4" w:rsidRPr="00D572D4" w:rsidRDefault="00D572D4" w:rsidP="00D572D4">
            <w:pPr>
              <w:spacing w:after="0" w:line="240" w:lineRule="auto"/>
              <w:rPr>
                <w:rFonts w:ascii="Times New Roman" w:eastAsia="Times New Roman" w:hAnsi="Times New Roman" w:cs="Times New Roman"/>
                <w:sz w:val="18"/>
                <w:szCs w:val="18"/>
              </w:rPr>
            </w:pPr>
          </w:p>
        </w:tc>
        <w:tc>
          <w:tcPr>
            <w:tcW w:w="2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w:t>
            </w:r>
          </w:p>
        </w:tc>
        <w:tc>
          <w:tcPr>
            <w:tcW w:w="6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$38.22</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$42.57</w:t>
            </w:r>
          </w:p>
        </w:tc>
        <w:tc>
          <w:tcPr>
            <w:tcW w:w="8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$51.10</w:t>
            </w:r>
          </w:p>
        </w:tc>
        <w:tc>
          <w:tcPr>
            <w:tcW w:w="70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$59.87</w:t>
            </w:r>
          </w:p>
        </w:tc>
        <w:tc>
          <w:tcPr>
            <w:tcW w:w="75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$77.16</w:t>
            </w:r>
          </w:p>
        </w:tc>
      </w:tr>
    </w:tbl>
    <w:p w:rsidR="00D572D4" w:rsidRPr="00D572D4" w:rsidRDefault="00D572D4" w:rsidP="00D572D4">
      <w:pPr>
        <w:spacing w:before="140" w:after="0" w:line="240" w:lineRule="auto"/>
        <w:ind w:left="533" w:hanging="533"/>
        <w:jc w:val="both"/>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 </w:t>
      </w:r>
    </w:p>
    <w:p w:rsidR="00D572D4" w:rsidRPr="00D572D4" w:rsidRDefault="00D572D4" w:rsidP="00D572D4">
      <w:pPr>
        <w:spacing w:after="0" w:line="240" w:lineRule="auto"/>
        <w:ind w:left="533" w:hanging="533"/>
        <w:jc w:val="both"/>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.07 Provider Components.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Effective July 1,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2018</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2019</w:t>
      </w:r>
      <w:r w:rsidRPr="00D572D4">
        <w:rPr>
          <w:rFonts w:ascii="Times New Roman" w:eastAsia="Times New Roman" w:hAnsi="Times New Roman" w:cs="Times New Roman"/>
          <w:color w:val="000000"/>
          <w:sz w:val="18"/>
          <w:szCs w:val="18"/>
        </w:rPr>
        <w:t>, the provider components for all regions are as follows: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 The residential program provider component is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$68.51</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$70.91</w:t>
      </w:r>
      <w:r w:rsidRPr="00D572D4">
        <w:rPr>
          <w:rFonts w:ascii="Times New Roman" w:eastAsia="Times New Roman" w:hAnsi="Times New Roman" w:cs="Times New Roman"/>
          <w:color w:val="000000"/>
          <w:sz w:val="18"/>
          <w:szCs w:val="18"/>
        </w:rPr>
        <w:t>; and</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 xml:space="preserve">B. The day habilitation, vocational, supported employment, community learning services, and employment discovery and customization program provider component </w:t>
      </w:r>
      <w:proofErr w:type="gramStart"/>
      <w:r w:rsidRPr="00D572D4">
        <w:rPr>
          <w:rFonts w:ascii="Times New Roman" w:eastAsia="Times New Roman" w:hAnsi="Times New Roman" w:cs="Times New Roman"/>
          <w:color w:val="000000"/>
          <w:sz w:val="18"/>
          <w:szCs w:val="18"/>
        </w:rPr>
        <w:t>is</w:t>
      </w:r>
      <w:proofErr w:type="gramEnd"/>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$37.93</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$39.26</w:t>
      </w:r>
      <w:r w:rsidRPr="00D572D4">
        <w:rPr>
          <w:rFonts w:ascii="Times New Roman" w:eastAsia="Times New Roman" w:hAnsi="Times New Roman" w:cs="Times New Roman"/>
          <w:color w:val="000000"/>
          <w:sz w:val="18"/>
          <w:szCs w:val="18"/>
        </w:rPr>
        <w:t>.</w:t>
      </w:r>
    </w:p>
    <w:p w:rsidR="00D572D4" w:rsidRPr="00D572D4" w:rsidRDefault="00D572D4" w:rsidP="00D572D4">
      <w:pPr>
        <w:spacing w:before="140" w:after="0" w:line="240" w:lineRule="auto"/>
        <w:ind w:left="533" w:hanging="533"/>
        <w:jc w:val="both"/>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.08 Add-On Component.</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A.—I. (text unchanged)</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J. Reimbursement for Add-On Components.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(1) (text unchanged)</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(2) Effective July 1,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2018</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2019</w:t>
      </w:r>
      <w:r w:rsidRPr="00D572D4">
        <w:rPr>
          <w:rFonts w:ascii="Times New Roman" w:eastAsia="Times New Roman" w:hAnsi="Times New Roman" w:cs="Times New Roman"/>
          <w:color w:val="000000"/>
          <w:sz w:val="18"/>
          <w:szCs w:val="18"/>
        </w:rPr>
        <w:t>, the amount per unit of service for residential programs is as follows:</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 In Baltimore City and Allegany, Anne Arundel, Baltimore, Caroline, Carroll, Dorchester, Garrett, Harford, Howard, Kent, Queen Anne's, St. Mary's, Somerset, Talbot, Washington, Wicomico, and Worcester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$20.47</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$21.19</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(b) In Cecil County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$21.55</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$22.31</w:t>
      </w:r>
      <w:r w:rsidRPr="00D572D4">
        <w:rPr>
          <w:rFonts w:ascii="Times New Roman" w:eastAsia="Times New Roman" w:hAnsi="Times New Roman" w:cs="Times New Roman"/>
          <w:color w:val="000000"/>
          <w:sz w:val="18"/>
          <w:szCs w:val="18"/>
        </w:rPr>
        <w:t>; and</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(c) In Calvert, Charles, Frederick, Montgomery, and Prince George's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$21.82</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$22.59</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pacing w:val="-4"/>
          <w:sz w:val="18"/>
          <w:szCs w:val="18"/>
        </w:rPr>
        <w:t>(3) Effective July 1</w:t>
      </w:r>
      <w:r w:rsidRPr="00D572D4">
        <w:rPr>
          <w:rFonts w:ascii="Times New Roman" w:eastAsia="Times New Roman" w:hAnsi="Times New Roman" w:cs="Times New Roman"/>
          <w:i/>
          <w:iCs/>
          <w:color w:val="000000"/>
          <w:spacing w:val="-4"/>
          <w:sz w:val="18"/>
          <w:szCs w:val="18"/>
        </w:rPr>
        <w:t>,</w:t>
      </w:r>
      <w:r w:rsidRPr="00D572D4">
        <w:rPr>
          <w:rFonts w:ascii="Times New Roman" w:eastAsia="Times New Roman" w:hAnsi="Times New Roman" w:cs="Times New Roman"/>
          <w:color w:val="000000"/>
          <w:spacing w:val="-4"/>
          <w:sz w:val="18"/>
          <w:szCs w:val="18"/>
        </w:rPr>
        <w:t> </w:t>
      </w:r>
      <w:r w:rsidRPr="00D572D4">
        <w:rPr>
          <w:rFonts w:ascii="Times New Roman" w:eastAsia="Times New Roman" w:hAnsi="Times New Roman" w:cs="Times New Roman"/>
          <w:b/>
          <w:bCs/>
          <w:color w:val="000000"/>
          <w:spacing w:val="-4"/>
          <w:sz w:val="18"/>
          <w:szCs w:val="18"/>
        </w:rPr>
        <w:t>[</w:t>
      </w:r>
      <w:r w:rsidRPr="00D572D4">
        <w:rPr>
          <w:rFonts w:ascii="Times New Roman" w:eastAsia="Times New Roman" w:hAnsi="Times New Roman" w:cs="Times New Roman"/>
          <w:color w:val="000000"/>
          <w:spacing w:val="-4"/>
          <w:sz w:val="18"/>
          <w:szCs w:val="18"/>
        </w:rPr>
        <w:t>2018</w:t>
      </w:r>
      <w:r w:rsidRPr="00D572D4">
        <w:rPr>
          <w:rFonts w:ascii="Times New Roman" w:eastAsia="Times New Roman" w:hAnsi="Times New Roman" w:cs="Times New Roman"/>
          <w:b/>
          <w:bCs/>
          <w:color w:val="000000"/>
          <w:spacing w:val="-4"/>
          <w:sz w:val="18"/>
          <w:szCs w:val="18"/>
        </w:rPr>
        <w:t>]</w:t>
      </w:r>
      <w:r w:rsidRPr="00D572D4">
        <w:rPr>
          <w:rFonts w:ascii="Times New Roman" w:eastAsia="Times New Roman" w:hAnsi="Times New Roman" w:cs="Times New Roman"/>
          <w:color w:val="000000"/>
          <w:spacing w:val="-4"/>
          <w:sz w:val="18"/>
          <w:szCs w:val="18"/>
        </w:rPr>
        <w:t> </w:t>
      </w:r>
      <w:r w:rsidRPr="00D572D4">
        <w:rPr>
          <w:rFonts w:ascii="Times New Roman" w:eastAsia="Times New Roman" w:hAnsi="Times New Roman" w:cs="Times New Roman"/>
          <w:i/>
          <w:iCs/>
          <w:color w:val="000000"/>
          <w:spacing w:val="-4"/>
          <w:sz w:val="18"/>
          <w:szCs w:val="18"/>
        </w:rPr>
        <w:t>2019</w:t>
      </w:r>
      <w:r w:rsidRPr="00D572D4">
        <w:rPr>
          <w:rFonts w:ascii="Times New Roman" w:eastAsia="Times New Roman" w:hAnsi="Times New Roman" w:cs="Times New Roman"/>
          <w:color w:val="000000"/>
          <w:spacing w:val="-4"/>
          <w:sz w:val="18"/>
          <w:szCs w:val="18"/>
        </w:rPr>
        <w:t>, the amount per unit of service for day habilitation and community learning services</w:t>
      </w:r>
      <w:r w:rsidRPr="00D572D4">
        <w:rPr>
          <w:rFonts w:ascii="Times New Roman" w:eastAsia="Times New Roman" w:hAnsi="Times New Roman" w:cs="Times New Roman"/>
          <w:i/>
          <w:iCs/>
          <w:color w:val="000000"/>
          <w:spacing w:val="-4"/>
          <w:sz w:val="18"/>
          <w:szCs w:val="18"/>
        </w:rPr>
        <w:t> </w:t>
      </w:r>
      <w:r w:rsidRPr="00D572D4">
        <w:rPr>
          <w:rFonts w:ascii="Times New Roman" w:eastAsia="Times New Roman" w:hAnsi="Times New Roman" w:cs="Times New Roman"/>
          <w:color w:val="000000"/>
          <w:spacing w:val="-4"/>
          <w:sz w:val="18"/>
          <w:szCs w:val="18"/>
        </w:rPr>
        <w:t>is as follows:</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 In Baltimore City and Allegany, Anne Arundel, Baltimore, Caroline, Carroll, Dorchester, Garrett, Harford, Howard, Kent, Queen Anne's, St. Mary's, Somerset, Talbot, Washington, Wicomico, and Worcester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$22.88</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$23.68</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(b) In Cecil County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$23.96</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$24.80</w:t>
      </w:r>
      <w:r w:rsidRPr="00D572D4">
        <w:rPr>
          <w:rFonts w:ascii="Times New Roman" w:eastAsia="Times New Roman" w:hAnsi="Times New Roman" w:cs="Times New Roman"/>
          <w:color w:val="000000"/>
          <w:sz w:val="18"/>
          <w:szCs w:val="18"/>
        </w:rPr>
        <w:t>; and</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(c) In Calvert, Charles, Frederick, Montgomery, and Prince George's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$24.24</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$25.09</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(4) Effective July 1</w:t>
      </w:r>
      <w:r w:rsidRPr="00D572D4">
        <w:rPr>
          <w:rFonts w:ascii="Times New Roman" w:eastAsia="Times New Roman" w:hAnsi="Times New Roman" w:cs="Times New Roman"/>
          <w:i/>
          <w:i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2018</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2019</w:t>
      </w:r>
      <w:r w:rsidRPr="00D572D4">
        <w:rPr>
          <w:rFonts w:ascii="Times New Roman" w:eastAsia="Times New Roman" w:hAnsi="Times New Roman" w:cs="Times New Roman"/>
          <w:color w:val="000000"/>
          <w:sz w:val="18"/>
          <w:szCs w:val="18"/>
        </w:rPr>
        <w:t>, the amount per unit of service for supported employment and employment discovery and customization</w:t>
      </w:r>
      <w:r w:rsidRPr="00D572D4">
        <w:rPr>
          <w:rFonts w:ascii="Times New Roman" w:eastAsia="Times New Roman" w:hAnsi="Times New Roman" w:cs="Times New Roman"/>
          <w:i/>
          <w:iCs/>
          <w:color w:val="000000"/>
          <w:sz w:val="18"/>
          <w:szCs w:val="18"/>
        </w:rPr>
        <w:t> </w:t>
      </w:r>
      <w:r w:rsidRPr="00D572D4">
        <w:rPr>
          <w:rFonts w:ascii="Times New Roman" w:eastAsia="Times New Roman" w:hAnsi="Times New Roman" w:cs="Times New Roman"/>
          <w:color w:val="000000"/>
          <w:sz w:val="18"/>
          <w:szCs w:val="18"/>
        </w:rPr>
        <w:t>is as follows:</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 In Baltimore City and Allegany, Anne Arundel, Baltimore, Caroline, Carroll, Dorchester, Garrett, Harford, Howard, Kent, Queen Anne's, St. Mary's, Somerset, Talbot, Washington, Wicomico, and Worcester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$22.88</w:t>
      </w:r>
      <w:r w:rsidRPr="00D572D4">
        <w:rPr>
          <w:rFonts w:ascii="Times New Roman" w:eastAsia="Times New Roman" w:hAnsi="Times New Roman" w:cs="Times New Roman"/>
          <w:b/>
          <w:bCs/>
          <w:color w:val="000000"/>
          <w:sz w:val="18"/>
          <w:szCs w:val="18"/>
        </w:rPr>
        <w:t>] </w:t>
      </w:r>
      <w:r w:rsidRPr="00D572D4">
        <w:rPr>
          <w:rFonts w:ascii="Times New Roman" w:eastAsia="Times New Roman" w:hAnsi="Times New Roman" w:cs="Times New Roman"/>
          <w:i/>
          <w:iCs/>
          <w:color w:val="000000"/>
          <w:sz w:val="18"/>
          <w:szCs w:val="18"/>
        </w:rPr>
        <w:t>$23.68</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(b) In Cecil County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$23.96</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$24.80</w:t>
      </w:r>
      <w:r w:rsidRPr="00D572D4">
        <w:rPr>
          <w:rFonts w:ascii="Times New Roman" w:eastAsia="Times New Roman" w:hAnsi="Times New Roman" w:cs="Times New Roman"/>
          <w:color w:val="000000"/>
          <w:sz w:val="18"/>
          <w:szCs w:val="18"/>
        </w:rPr>
        <w:t>; and</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(c) In Calvert, Charles, Frederick, Montgomery, and Prince George's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$24.24</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$25.09</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(5) Effective July 1</w:t>
      </w:r>
      <w:r w:rsidRPr="00D572D4">
        <w:rPr>
          <w:rFonts w:ascii="Times New Roman" w:eastAsia="Times New Roman" w:hAnsi="Times New Roman" w:cs="Times New Roman"/>
          <w:i/>
          <w:i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2018</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i/>
          <w:iCs/>
          <w:color w:val="000000"/>
          <w:sz w:val="18"/>
          <w:szCs w:val="18"/>
        </w:rPr>
        <w:t> 2019</w:t>
      </w:r>
      <w:r w:rsidRPr="00D572D4">
        <w:rPr>
          <w:rFonts w:ascii="Times New Roman" w:eastAsia="Times New Roman" w:hAnsi="Times New Roman" w:cs="Times New Roman"/>
          <w:color w:val="000000"/>
          <w:sz w:val="18"/>
          <w:szCs w:val="18"/>
        </w:rPr>
        <w:t>, the amount per unit of service per individual for professional services is as follows:</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 In Baltimore City and Allegany, Anne Arundel, Baltimore, Caroline, Carroll, Dorchester, Garrett, Harford, Howard, Kent, Queen Anne's, St. Mary's, Somerset, Talbot, Washington, Wicomico, and Worcester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$33.75</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$34.93</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(b) In Cecil County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$35.65</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$36.89</w:t>
      </w:r>
      <w:r w:rsidRPr="00D572D4">
        <w:rPr>
          <w:rFonts w:ascii="Times New Roman" w:eastAsia="Times New Roman" w:hAnsi="Times New Roman" w:cs="Times New Roman"/>
          <w:color w:val="000000"/>
          <w:sz w:val="18"/>
          <w:szCs w:val="18"/>
        </w:rPr>
        <w:t>; and</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(c) In Calvert, Charles, Frederick, Montgomery, and Prince George's counties — </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$36.12</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w:t>
      </w:r>
      <w:r w:rsidRPr="00D572D4">
        <w:rPr>
          <w:rFonts w:ascii="Times New Roman" w:eastAsia="Times New Roman" w:hAnsi="Times New Roman" w:cs="Times New Roman"/>
          <w:i/>
          <w:iCs/>
          <w:color w:val="000000"/>
          <w:sz w:val="18"/>
          <w:szCs w:val="18"/>
        </w:rPr>
        <w:t>$37.39</w:t>
      </w:r>
      <w:r w:rsidRPr="00D572D4">
        <w:rPr>
          <w:rFonts w:ascii="Times New Roman" w:eastAsia="Times New Roman" w:hAnsi="Times New Roman" w:cs="Times New Roman"/>
          <w:color w:val="000000"/>
          <w:sz w:val="18"/>
          <w:szCs w:val="18"/>
        </w:rPr>
        <w:t>.</w:t>
      </w:r>
    </w:p>
    <w:p w:rsidR="00D572D4" w:rsidRPr="00D572D4" w:rsidRDefault="00D572D4" w:rsidP="00D572D4">
      <w:pPr>
        <w:spacing w:after="0" w:line="240" w:lineRule="auto"/>
        <w:ind w:firstLine="648"/>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 </w:t>
      </w:r>
    </w:p>
    <w:p w:rsidR="00D572D4" w:rsidRPr="00D572D4" w:rsidRDefault="00D572D4" w:rsidP="00D572D4">
      <w:pPr>
        <w:spacing w:after="120" w:line="240" w:lineRule="auto"/>
        <w:ind w:left="158" w:hanging="158"/>
        <w:jc w:val="both"/>
        <w:rPr>
          <w:rFonts w:ascii="Times New Roman" w:eastAsia="Times New Roman" w:hAnsi="Times New Roman" w:cs="Times New Roman"/>
          <w:b/>
          <w:bCs/>
          <w:color w:val="000000"/>
          <w:sz w:val="27"/>
          <w:szCs w:val="27"/>
        </w:rPr>
      </w:pPr>
      <w:r w:rsidRPr="00D572D4">
        <w:rPr>
          <w:rFonts w:ascii="Times New Roman" w:eastAsia="Times New Roman" w:hAnsi="Times New Roman" w:cs="Times New Roman"/>
          <w:b/>
          <w:bCs/>
          <w:color w:val="000000"/>
          <w:sz w:val="27"/>
          <w:szCs w:val="27"/>
        </w:rPr>
        <w:t>10.22.18 Community Supported Living Arrangements Payment System</w:t>
      </w:r>
    </w:p>
    <w:p w:rsidR="00D572D4" w:rsidRPr="00D572D4" w:rsidRDefault="00D572D4" w:rsidP="00D572D4">
      <w:pPr>
        <w:spacing w:before="120" w:after="0" w:line="240" w:lineRule="auto"/>
        <w:jc w:val="center"/>
        <w:rPr>
          <w:rFonts w:ascii="Times New Roman" w:eastAsia="Times New Roman" w:hAnsi="Times New Roman" w:cs="Times New Roman"/>
          <w:color w:val="000000"/>
          <w:sz w:val="16"/>
          <w:szCs w:val="16"/>
        </w:rPr>
      </w:pPr>
      <w:r w:rsidRPr="00D572D4">
        <w:rPr>
          <w:rFonts w:ascii="Times New Roman" w:eastAsia="Times New Roman" w:hAnsi="Times New Roman" w:cs="Times New Roman"/>
          <w:color w:val="000000"/>
          <w:sz w:val="16"/>
          <w:szCs w:val="16"/>
        </w:rPr>
        <w:t>Authority: Health-General Article, §§2-104(b), 7-306.1, </w:t>
      </w:r>
      <w:r w:rsidRPr="00D572D4">
        <w:rPr>
          <w:rFonts w:ascii="Times New Roman" w:eastAsia="Times New Roman" w:hAnsi="Times New Roman" w:cs="Times New Roman"/>
          <w:color w:val="222222"/>
          <w:sz w:val="16"/>
          <w:szCs w:val="16"/>
        </w:rPr>
        <w:t>7-307, 7-714, 7-910(c), </w:t>
      </w:r>
      <w:r w:rsidRPr="00D572D4">
        <w:rPr>
          <w:rFonts w:ascii="Times New Roman" w:eastAsia="Times New Roman" w:hAnsi="Times New Roman" w:cs="Times New Roman"/>
          <w:color w:val="000000"/>
          <w:sz w:val="16"/>
          <w:szCs w:val="16"/>
        </w:rPr>
        <w:t>15-105, 15-107, and 16-201, Annotated Code of Maryland; Ch. 102, Acts of 2001</w:t>
      </w:r>
    </w:p>
    <w:p w:rsidR="00D572D4" w:rsidRPr="00D572D4" w:rsidRDefault="00D572D4" w:rsidP="00D572D4">
      <w:pPr>
        <w:spacing w:before="140" w:after="0" w:line="240" w:lineRule="auto"/>
        <w:ind w:left="533" w:hanging="533"/>
        <w:jc w:val="both"/>
        <w:rPr>
          <w:rFonts w:ascii="Times New Roman" w:eastAsia="Times New Roman" w:hAnsi="Times New Roman" w:cs="Times New Roman"/>
          <w:b/>
          <w:bCs/>
          <w:color w:val="000000"/>
          <w:sz w:val="18"/>
          <w:szCs w:val="18"/>
        </w:rPr>
      </w:pPr>
      <w:r w:rsidRPr="00D572D4">
        <w:rPr>
          <w:rFonts w:ascii="Times New Roman" w:eastAsia="Times New Roman" w:hAnsi="Times New Roman" w:cs="Times New Roman"/>
          <w:b/>
          <w:bCs/>
          <w:color w:val="000000"/>
          <w:sz w:val="18"/>
          <w:szCs w:val="18"/>
        </w:rPr>
        <w:t>.04 Rates.</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A.—H. (text unchanged)</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I.</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K.</w:t>
      </w:r>
      <w:r w:rsidRPr="00D572D4">
        <w:rPr>
          <w:rFonts w:ascii="Times New Roman" w:eastAsia="Times New Roman" w:hAnsi="Times New Roman" w:cs="Times New Roman"/>
          <w:b/>
          <w:bCs/>
          <w:color w:val="000000"/>
          <w:sz w:val="18"/>
          <w:szCs w:val="18"/>
        </w:rPr>
        <w:t>]</w:t>
      </w:r>
      <w:r w:rsidRPr="00D572D4">
        <w:rPr>
          <w:rFonts w:ascii="Times New Roman" w:eastAsia="Times New Roman" w:hAnsi="Times New Roman" w:cs="Times New Roman"/>
          <w:color w:val="000000"/>
          <w:sz w:val="18"/>
          <w:szCs w:val="18"/>
        </w:rPr>
        <w:t> (proposed for repeal)</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I. Fiscal Year 2020 Tables for CSLA’s Personal Supports Hourly Rates. </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(1) State Fiscal Year 2020 CSLA’s Personal Supports Rates: Table for One Individual in a Dwelling Receiving CSLA Services.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1321"/>
        <w:gridCol w:w="4905"/>
        <w:gridCol w:w="943"/>
        <w:gridCol w:w="2171"/>
      </w:tblGrid>
      <w:tr w:rsidR="00D572D4" w:rsidRPr="00D572D4" w:rsidTr="00D572D4">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color w:val="000000"/>
                <w:sz w:val="18"/>
                <w:szCs w:val="18"/>
              </w:rPr>
            </w:pPr>
          </w:p>
        </w:tc>
        <w:tc>
          <w:tcPr>
            <w:tcW w:w="4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Hourly Rate per Individual</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Hours of Service per Week</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Baltimore City and Allegany, Anne Arundel, Baltimore, Caroline, Carroll, Dorchester, Garrett, Harford, Howard, Kent, Queen Anne’s, St. Mary’s, Somerset, Talbot, Washington, Wicomico, and Worcester Counties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Cecil County</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Calvert, Charles, Frederick, Montgomery,</w:t>
            </w:r>
            <w:r w:rsidRPr="00D572D4">
              <w:rPr>
                <w:rFonts w:ascii="Times New Roman" w:eastAsia="Times New Roman" w:hAnsi="Times New Roman" w:cs="Times New Roman"/>
                <w:i/>
                <w:iCs/>
                <w:sz w:val="18"/>
                <w:szCs w:val="18"/>
              </w:rPr>
              <w:br/>
              <w:t>and Prince George’s Counties</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1—19</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$32.14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$33.55</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20—22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$30.73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$31.81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$32.08</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23—24</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$29.70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$30.74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$31.01</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$28.75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$29.76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$30.01</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$28.81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$29.06</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$27.96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$28.20</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28—82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$26.62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$27.55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$27.79</w:t>
            </w:r>
          </w:p>
        </w:tc>
      </w:tr>
    </w:tbl>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(2) State Fiscal Year 2020 CSLA’s Personal Supports Rates: Table for Two Individuals in a Dwelling Receiving CSLA Services.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1321"/>
        <w:gridCol w:w="4905"/>
        <w:gridCol w:w="943"/>
        <w:gridCol w:w="2171"/>
      </w:tblGrid>
      <w:tr w:rsidR="00D572D4" w:rsidRPr="00D572D4" w:rsidTr="00D572D4">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color w:val="000000"/>
                <w:sz w:val="18"/>
                <w:szCs w:val="18"/>
              </w:rPr>
            </w:pPr>
          </w:p>
        </w:tc>
        <w:tc>
          <w:tcPr>
            <w:tcW w:w="4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Hourly Rate per Individual</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Hours of Service per Week</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Baltimore City and Allegany, Anne Arundel, Baltimore, Caroline, Carroll, Dorchester, Garrett, Harford, Howard, Kent, Queen Anne’s, St. Mary’s, Somerset, Talbot, Washington, Wicomico, and Worcester Counties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Cecil County</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Calvert, Charles, Frederick, Montgomery,</w:t>
            </w:r>
            <w:r w:rsidRPr="00D572D4">
              <w:rPr>
                <w:rFonts w:ascii="Times New Roman" w:eastAsia="Times New Roman" w:hAnsi="Times New Roman" w:cs="Times New Roman"/>
                <w:i/>
                <w:iCs/>
                <w:sz w:val="18"/>
                <w:szCs w:val="18"/>
              </w:rPr>
              <w:br/>
              <w:t>and Prince George’s Counties</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1—19</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$29.90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$30.95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$31.22</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20—22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$28.81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$29.82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$30.08</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23—24</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$27.84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$28.81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$29.06</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$26.94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$27.88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$28.13</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$26.09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$27.00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$27.24</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$25.32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$26.43</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28—82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$24.95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$25.82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$26.05</w:t>
            </w:r>
          </w:p>
        </w:tc>
      </w:tr>
    </w:tbl>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(3) State Fiscal Year 2020 CSLA’s Personal Supports Rates: Table for Three Individuals in a Dwelling Receiving CSLA Services.</w:t>
      </w:r>
    </w:p>
    <w:p w:rsidR="00D572D4" w:rsidRPr="00D572D4" w:rsidRDefault="00D572D4" w:rsidP="00D572D4">
      <w:pPr>
        <w:spacing w:after="0" w:line="240" w:lineRule="auto"/>
        <w:ind w:firstLine="432"/>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1417"/>
        <w:gridCol w:w="4905"/>
        <w:gridCol w:w="943"/>
        <w:gridCol w:w="2075"/>
      </w:tblGrid>
      <w:tr w:rsidR="00D572D4" w:rsidRPr="00D572D4" w:rsidTr="00D572D4">
        <w:tc>
          <w:tcPr>
            <w:tcW w:w="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color w:val="000000"/>
                <w:sz w:val="18"/>
                <w:szCs w:val="18"/>
              </w:rPr>
            </w:pPr>
          </w:p>
        </w:tc>
        <w:tc>
          <w:tcPr>
            <w:tcW w:w="4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Hourly Rate per Individual</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Hours of Service per Week</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Baltimore City and Allegany, Anne Arundel, Baltimore, Caroline, Carroll, Dorchester, Garrett, Harford, Howard, Kent, Queen Anne’s, St. Mary’s, Somerset, Talbot, Washington, Wicomico, and Worcester Counties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Cecil County</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Calvert, Charles, Frederick, Montgomery,</w:t>
            </w:r>
            <w:r w:rsidRPr="00D572D4">
              <w:rPr>
                <w:rFonts w:ascii="Times New Roman" w:eastAsia="Times New Roman" w:hAnsi="Times New Roman" w:cs="Times New Roman"/>
                <w:i/>
                <w:iCs/>
                <w:sz w:val="18"/>
                <w:szCs w:val="18"/>
              </w:rPr>
              <w:br/>
              <w:t>and Prince George’s Counties</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1—19</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$23.96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$24.80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$25.01</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20—22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$23.08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$23.89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$24.10</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23—24</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$22.29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$23.27</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$21.59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$22.54</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$20.92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$21.65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$21.84</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27</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$20.28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$20.99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$21.17</w:t>
            </w:r>
          </w:p>
        </w:tc>
      </w:tr>
      <w:tr w:rsidR="00D572D4" w:rsidRPr="00D572D4" w:rsidTr="00D572D4">
        <w:tc>
          <w:tcPr>
            <w:tcW w:w="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28—82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$20.70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$20.88</w:t>
            </w:r>
          </w:p>
        </w:tc>
      </w:tr>
    </w:tbl>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J. State Fiscal Year 2020 CSLA’s Personal Supports Rates: Table for 1:1 Support or Not More than 8 Hours of Awake-Overnight Support per Residence for Individuals Receiving CSLA Services Regardless of the Number of Individuals in a Dwelling.</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1321"/>
        <w:gridCol w:w="4905"/>
        <w:gridCol w:w="943"/>
        <w:gridCol w:w="2171"/>
      </w:tblGrid>
      <w:tr w:rsidR="00D572D4" w:rsidRPr="00D572D4" w:rsidTr="00D572D4">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rPr>
                <w:rFonts w:ascii="Times New Roman" w:eastAsia="Times New Roman" w:hAnsi="Times New Roman" w:cs="Times New Roman"/>
                <w:color w:val="000000"/>
                <w:sz w:val="18"/>
                <w:szCs w:val="18"/>
              </w:rPr>
            </w:pPr>
          </w:p>
        </w:tc>
        <w:tc>
          <w:tcPr>
            <w:tcW w:w="4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Hourly Rate per Individual</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Hours of Service per Week</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Baltimore City and Allegany, Anne Arundel, Baltimore, Caroline, Carroll, Dorchester, Garrett, Harford, Howard, Kent, Queen Anne’s, St. Mary’s, Somerset, Talbot, Washington, Wicomico, and Worcester Counties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Cecil County</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Calvert, Charles, Frederick, Montgomery,</w:t>
            </w:r>
            <w:r w:rsidRPr="00D572D4">
              <w:rPr>
                <w:rFonts w:ascii="Times New Roman" w:eastAsia="Times New Roman" w:hAnsi="Times New Roman" w:cs="Times New Roman"/>
                <w:i/>
                <w:iCs/>
                <w:sz w:val="18"/>
                <w:szCs w:val="18"/>
              </w:rPr>
              <w:br/>
              <w:t>and Prince George’s Counties</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Hours in Excess of 82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$20.00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$20.70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$20.88</w:t>
            </w:r>
          </w:p>
        </w:tc>
      </w:tr>
    </w:tbl>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18"/>
          <w:szCs w:val="18"/>
        </w:rPr>
        <w:t>K. State Fiscal Year 2020 CSLA’s Personal Supports Rates: Table for Professional Services for Individuals Receiving CSLA Services Regardless of the Number of Individuals in a Dwelling.</w:t>
      </w:r>
    </w:p>
    <w:p w:rsidR="00D572D4" w:rsidRPr="00D572D4" w:rsidRDefault="00D572D4" w:rsidP="00D572D4">
      <w:pPr>
        <w:spacing w:after="0" w:line="240" w:lineRule="auto"/>
        <w:ind w:firstLine="216"/>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i/>
          <w:iCs/>
          <w:color w:val="000000"/>
          <w:sz w:val="8"/>
          <w:szCs w:val="8"/>
        </w:rPr>
        <w:t> </w:t>
      </w:r>
    </w:p>
    <w:tbl>
      <w:tblPr>
        <w:tblW w:w="5000" w:type="pct"/>
        <w:tblCellMar>
          <w:left w:w="0" w:type="dxa"/>
          <w:right w:w="0" w:type="dxa"/>
        </w:tblCellMar>
        <w:tblLook w:val="04A0" w:firstRow="1" w:lastRow="0" w:firstColumn="1" w:lastColumn="0" w:noHBand="0" w:noVBand="1"/>
      </w:tblPr>
      <w:tblGrid>
        <w:gridCol w:w="1321"/>
        <w:gridCol w:w="4905"/>
        <w:gridCol w:w="943"/>
        <w:gridCol w:w="2171"/>
      </w:tblGrid>
      <w:tr w:rsidR="00D572D4" w:rsidRPr="00D572D4" w:rsidTr="00D572D4">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  </w:t>
            </w:r>
          </w:p>
        </w:tc>
        <w:tc>
          <w:tcPr>
            <w:tcW w:w="42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Hourly Rate per Individual</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Hours of Service per Week</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Baltimore City and Allegany, Anne Arundel, Baltimore, Caroline, Carroll, Dorchester, Garrett, Harford, Howard, Kent, Queen Anne’s, St. Mary’s, Somerset, Talbot, Washington, Wicomico, and Worcester Counties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Cecil County</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Calvert, Charles, Frederick, Montgomery,</w:t>
            </w:r>
            <w:r w:rsidRPr="00D572D4">
              <w:rPr>
                <w:rFonts w:ascii="Times New Roman" w:eastAsia="Times New Roman" w:hAnsi="Times New Roman" w:cs="Times New Roman"/>
                <w:i/>
                <w:iCs/>
                <w:sz w:val="18"/>
                <w:szCs w:val="18"/>
              </w:rPr>
              <w:br/>
              <w:t>and Prince George’s Counties</w:t>
            </w:r>
          </w:p>
        </w:tc>
      </w:tr>
      <w:tr w:rsidR="00D572D4" w:rsidRPr="00D572D4" w:rsidTr="00D572D4">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center"/>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As Preauthorized and Approved</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$34.93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$36.15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D572D4" w:rsidRPr="00D572D4" w:rsidRDefault="00D572D4" w:rsidP="00D572D4">
            <w:pPr>
              <w:spacing w:after="0" w:line="240" w:lineRule="auto"/>
              <w:jc w:val="both"/>
              <w:rPr>
                <w:rFonts w:ascii="Times New Roman" w:eastAsia="Times New Roman" w:hAnsi="Times New Roman" w:cs="Times New Roman"/>
                <w:sz w:val="18"/>
                <w:szCs w:val="18"/>
              </w:rPr>
            </w:pPr>
            <w:r w:rsidRPr="00D572D4">
              <w:rPr>
                <w:rFonts w:ascii="Times New Roman" w:eastAsia="Times New Roman" w:hAnsi="Times New Roman" w:cs="Times New Roman"/>
                <w:i/>
                <w:iCs/>
                <w:sz w:val="18"/>
                <w:szCs w:val="18"/>
              </w:rPr>
              <w:t>$36.47</w:t>
            </w:r>
          </w:p>
        </w:tc>
      </w:tr>
    </w:tbl>
    <w:p w:rsidR="00D572D4" w:rsidRPr="00D572D4" w:rsidRDefault="00D572D4" w:rsidP="00D572D4">
      <w:pPr>
        <w:spacing w:before="120" w:after="0" w:line="240" w:lineRule="auto"/>
        <w:jc w:val="right"/>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ROBERT R. NEALL</w:t>
      </w:r>
      <w:r w:rsidRPr="00D572D4">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S</w:t>
      </w:r>
      <w:r w:rsidRPr="00D572D4">
        <w:rPr>
          <w:rFonts w:ascii="Times New Roman" w:eastAsia="Times New Roman" w:hAnsi="Times New Roman" w:cs="Times New Roman"/>
          <w:color w:val="000000"/>
          <w:sz w:val="18"/>
          <w:szCs w:val="18"/>
        </w:rPr>
        <w:t>ecretary of Health</w:t>
      </w:r>
    </w:p>
    <w:p w:rsidR="00D572D4" w:rsidRPr="00D572D4" w:rsidRDefault="00D572D4" w:rsidP="00D572D4">
      <w:pPr>
        <w:spacing w:after="0" w:line="240" w:lineRule="auto"/>
        <w:jc w:val="both"/>
        <w:rPr>
          <w:rFonts w:ascii="Times New Roman" w:eastAsia="Times New Roman" w:hAnsi="Times New Roman" w:cs="Times New Roman"/>
          <w:color w:val="000000"/>
          <w:sz w:val="18"/>
          <w:szCs w:val="18"/>
        </w:rPr>
      </w:pPr>
      <w:r w:rsidRPr="00D572D4">
        <w:rPr>
          <w:rFonts w:ascii="Times New Roman" w:eastAsia="Times New Roman" w:hAnsi="Times New Roman" w:cs="Times New Roman"/>
          <w:color w:val="000000"/>
          <w:sz w:val="18"/>
          <w:szCs w:val="18"/>
        </w:rPr>
        <w:t> </w:t>
      </w:r>
    </w:p>
    <w:p w:rsidR="00695758" w:rsidRDefault="00695758"/>
    <w:sectPr w:rsidR="00695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D4"/>
    <w:rsid w:val="00695758"/>
    <w:rsid w:val="00D5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BA75"/>
  <w15:chartTrackingRefBased/>
  <w15:docId w15:val="{5378AA43-D683-4ACB-B560-27CCA152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7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572D4"/>
  </w:style>
  <w:style w:type="paragraph" w:customStyle="1" w:styleId="msonormal0">
    <w:name w:val="msonormal"/>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
    <w:name w:val="st"/>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ice">
    <w:name w:val="notice"/>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n">
    <w:name w:val="dn"/>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r1">
    <w:name w:val="nr1"/>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r2">
    <w:name w:val="nr2"/>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
    <w:name w:val="ch"/>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
    <w:name w:val="au"/>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
    <w:name w:val="rt"/>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g">
    <w:name w:val="sig"/>
    <w:basedOn w:val="Normal"/>
    <w:rsid w:val="00D572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64DC99C-F051-45EC-9EF3-3544C95F112B}"/>
</file>

<file path=customXml/itemProps2.xml><?xml version="1.0" encoding="utf-8"?>
<ds:datastoreItem xmlns:ds="http://schemas.openxmlformats.org/officeDocument/2006/customXml" ds:itemID="{C79619E5-3F3D-4017-8684-4A4A75A2890B}"/>
</file>

<file path=customXml/itemProps3.xml><?xml version="1.0" encoding="utf-8"?>
<ds:datastoreItem xmlns:ds="http://schemas.openxmlformats.org/officeDocument/2006/customXml" ds:itemID="{6D24E61A-FEA1-4C10-8AB1-5F8B1BA35DCD}"/>
</file>

<file path=customXml/itemProps4.xml><?xml version="1.0" encoding="utf-8"?>
<ds:datastoreItem xmlns:ds="http://schemas.openxmlformats.org/officeDocument/2006/customXml" ds:itemID="{9485AD35-DCC6-45A1-B801-62FEA0D706E1}"/>
</file>

<file path=docProps/app.xml><?xml version="1.0" encoding="utf-8"?>
<Properties xmlns="http://schemas.openxmlformats.org/officeDocument/2006/extended-properties" xmlns:vt="http://schemas.openxmlformats.org/officeDocument/2006/docPropsVTypes">
  <Template>Normal</Template>
  <TotalTime>6</TotalTime>
  <Pages>8</Pages>
  <Words>2919</Words>
  <Characters>16640</Characters>
  <Application>Microsoft Office Word</Application>
  <DocSecurity>0</DocSecurity>
  <Lines>138</Lines>
  <Paragraphs>39</Paragraphs>
  <ScaleCrop>false</ScaleCrop>
  <Company>Maryland Department of Health</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2019-10-01T14:58:00Z</dcterms:created>
  <dcterms:modified xsi:type="dcterms:W3CDTF">2019-10-01T15:04:00Z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789fe2aa-3f2c-45ce-9902-b0ed00d950ed</vt:lpwstr>
  </property>
</Properties>
</file>