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6454054C" w14:textId="77777777" w:rsidR="00B01F11" w:rsidRDefault="00B01F11">
      <w:pPr>
        <w:widowControl/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  <w:sectPr w:rsidR="00B01F11" w:rsidSect="00B01F1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2259" w:right="1260" w:bottom="1440" w:left="1350" w:header="0" w:footer="720" w:gutter="0"/>
          <w:pgNumType w:start="1"/>
          <w:cols w:space="720"/>
          <w:titlePg/>
        </w:sectPr>
      </w:pPr>
    </w:p>
    <w:p w14:paraId="14300050" w14:textId="77777777" w:rsidR="00523056" w:rsidRPr="00523056" w:rsidRDefault="00523056" w:rsidP="00523056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1D956C80" w14:textId="07F0E23D" w:rsidR="00C54770" w:rsidRPr="00AB12B1" w:rsidRDefault="00C54770" w:rsidP="00C54770">
      <w:pPr>
        <w:jc w:val="center"/>
        <w:outlineLvl w:val="0"/>
        <w:rPr>
          <w:rFonts w:asciiTheme="majorHAnsi" w:eastAsia="Times New Roman" w:hAnsiTheme="majorHAnsi" w:cs="Times New Roman"/>
          <w:b/>
          <w:color w:val="262626" w:themeColor="text1" w:themeTint="D9"/>
          <w:sz w:val="26"/>
          <w:szCs w:val="26"/>
        </w:rPr>
      </w:pPr>
      <w:r w:rsidRPr="00AB12B1">
        <w:rPr>
          <w:rFonts w:asciiTheme="majorHAnsi" w:eastAsia="Times New Roman" w:hAnsiTheme="majorHAnsi" w:cs="Times New Roman"/>
          <w:b/>
          <w:color w:val="262626" w:themeColor="text1" w:themeTint="D9"/>
          <w:sz w:val="26"/>
          <w:szCs w:val="26"/>
        </w:rPr>
        <w:t>Compliance Guide for New Regulations for Small Businesses</w:t>
      </w:r>
    </w:p>
    <w:p w14:paraId="4B6552D5" w14:textId="0F891AE1" w:rsidR="00680600" w:rsidRPr="00AB12B1" w:rsidRDefault="00680600" w:rsidP="00BF28CB">
      <w:pPr>
        <w:ind w:left="360"/>
        <w:outlineLvl w:val="0"/>
        <w:rPr>
          <w:rFonts w:asciiTheme="majorHAnsi" w:eastAsia="Times New Roman" w:hAnsiTheme="majorHAnsi" w:cs="Times New Roman"/>
          <w:b/>
          <w:color w:val="262626" w:themeColor="text1" w:themeTint="D9"/>
          <w:sz w:val="26"/>
          <w:szCs w:val="26"/>
        </w:rPr>
      </w:pPr>
      <w:r w:rsidRPr="00AB12B1">
        <w:rPr>
          <w:rFonts w:asciiTheme="majorHAnsi" w:eastAsia="Times New Roman" w:hAnsiTheme="majorHAnsi" w:cs="Times New Roman"/>
          <w:b/>
          <w:color w:val="262626" w:themeColor="text1" w:themeTint="D9"/>
          <w:sz w:val="26"/>
          <w:szCs w:val="26"/>
        </w:rPr>
        <w:t>COMAR 10.22.17 Developmental Disabilities Administration</w:t>
      </w:r>
    </w:p>
    <w:p w14:paraId="3E3AC72E" w14:textId="447D7F9C" w:rsidR="00C54770" w:rsidRPr="00065591" w:rsidRDefault="00C54770" w:rsidP="00C54770">
      <w:pPr>
        <w:pStyle w:val="ListParagraph"/>
        <w:numPr>
          <w:ilvl w:val="0"/>
          <w:numId w:val="10"/>
        </w:numPr>
        <w:jc w:val="both"/>
        <w:outlineLvl w:val="0"/>
        <w:rPr>
          <w:rFonts w:asciiTheme="majorHAnsi" w:eastAsia="Times New Roman" w:hAnsiTheme="majorHAnsi" w:cs="Times New Roman"/>
          <w:bCs/>
          <w:i/>
          <w:iCs/>
          <w:color w:val="262626" w:themeColor="text1" w:themeTint="D9"/>
          <w:sz w:val="26"/>
          <w:szCs w:val="26"/>
        </w:rPr>
      </w:pPr>
      <w:r w:rsidRPr="00065591">
        <w:rPr>
          <w:rFonts w:asciiTheme="majorHAnsi" w:eastAsia="Times New Roman" w:hAnsiTheme="majorHAnsi" w:cs="Times New Roman"/>
          <w:bCs/>
          <w:i/>
          <w:iCs/>
          <w:color w:val="262626" w:themeColor="text1" w:themeTint="D9"/>
          <w:sz w:val="26"/>
          <w:szCs w:val="26"/>
        </w:rPr>
        <w:t>What does this regulation do?</w:t>
      </w:r>
    </w:p>
    <w:p w14:paraId="55B255C0" w14:textId="033C0FC3" w:rsidR="00185DC5" w:rsidRPr="00AB12B1" w:rsidRDefault="00185DC5" w:rsidP="00185DC5">
      <w:pPr>
        <w:ind w:left="720"/>
        <w:jc w:val="both"/>
        <w:outlineLvl w:val="0"/>
        <w:rPr>
          <w:rFonts w:asciiTheme="majorHAnsi" w:eastAsia="Times New Roman" w:hAnsiTheme="majorHAnsi" w:cs="Times New Roman"/>
          <w:bCs/>
          <w:color w:val="262626" w:themeColor="text1" w:themeTint="D9"/>
          <w:sz w:val="26"/>
          <w:szCs w:val="26"/>
        </w:rPr>
      </w:pPr>
      <w:r w:rsidRPr="00AB12B1">
        <w:rPr>
          <w:rFonts w:asciiTheme="majorHAnsi" w:eastAsia="Times New Roman" w:hAnsiTheme="majorHAnsi" w:cs="Times New Roman"/>
          <w:bCs/>
          <w:color w:val="262626" w:themeColor="text1" w:themeTint="D9"/>
          <w:sz w:val="26"/>
          <w:szCs w:val="26"/>
        </w:rPr>
        <w:t xml:space="preserve">The purpose of this action is to update the </w:t>
      </w:r>
      <w:r w:rsidR="005F1E88" w:rsidRPr="00AB12B1">
        <w:rPr>
          <w:rFonts w:asciiTheme="majorHAnsi" w:eastAsia="Times New Roman" w:hAnsiTheme="majorHAnsi" w:cs="Times New Roman"/>
          <w:bCs/>
          <w:color w:val="262626" w:themeColor="text1" w:themeTint="D9"/>
          <w:sz w:val="26"/>
          <w:szCs w:val="26"/>
        </w:rPr>
        <w:t>rates to comply with the Fiscal Year 2020 budget, which provides for a 3.5% increase for Developmental Disability Administration (DDA) providers beginning July 1, 2019.</w:t>
      </w:r>
    </w:p>
    <w:p w14:paraId="54657F00" w14:textId="47674FF0" w:rsidR="00C54770" w:rsidRPr="00065591" w:rsidRDefault="00C54770" w:rsidP="00C54770">
      <w:pPr>
        <w:pStyle w:val="ListParagraph"/>
        <w:numPr>
          <w:ilvl w:val="0"/>
          <w:numId w:val="10"/>
        </w:numPr>
        <w:jc w:val="both"/>
        <w:outlineLvl w:val="0"/>
        <w:rPr>
          <w:rFonts w:asciiTheme="majorHAnsi" w:eastAsia="Times New Roman" w:hAnsiTheme="majorHAnsi" w:cs="Times New Roman"/>
          <w:bCs/>
          <w:i/>
          <w:iCs/>
          <w:color w:val="262626" w:themeColor="text1" w:themeTint="D9"/>
          <w:sz w:val="26"/>
          <w:szCs w:val="26"/>
        </w:rPr>
      </w:pPr>
      <w:r w:rsidRPr="00065591">
        <w:rPr>
          <w:rFonts w:asciiTheme="majorHAnsi" w:eastAsia="Times New Roman" w:hAnsiTheme="majorHAnsi" w:cs="Times New Roman"/>
          <w:bCs/>
          <w:i/>
          <w:iCs/>
          <w:color w:val="262626" w:themeColor="text1" w:themeTint="D9"/>
          <w:sz w:val="26"/>
          <w:szCs w:val="26"/>
        </w:rPr>
        <w:t>Who is Subject to the new regulation?</w:t>
      </w:r>
    </w:p>
    <w:p w14:paraId="5DB144EF" w14:textId="74AE6674" w:rsidR="00065591" w:rsidRPr="00AB12B1" w:rsidRDefault="005F1E88" w:rsidP="00065591">
      <w:pPr>
        <w:ind w:left="720"/>
        <w:jc w:val="both"/>
        <w:outlineLvl w:val="0"/>
        <w:rPr>
          <w:rFonts w:asciiTheme="majorHAnsi" w:eastAsia="Times New Roman" w:hAnsiTheme="majorHAnsi" w:cs="Times New Roman"/>
          <w:bCs/>
          <w:color w:val="262626" w:themeColor="text1" w:themeTint="D9"/>
          <w:sz w:val="26"/>
          <w:szCs w:val="26"/>
        </w:rPr>
      </w:pPr>
      <w:r w:rsidRPr="00AB12B1">
        <w:rPr>
          <w:rFonts w:asciiTheme="majorHAnsi" w:eastAsia="Times New Roman" w:hAnsiTheme="majorHAnsi" w:cs="Times New Roman"/>
          <w:bCs/>
          <w:color w:val="262626" w:themeColor="text1" w:themeTint="D9"/>
          <w:sz w:val="26"/>
          <w:szCs w:val="26"/>
        </w:rPr>
        <w:t>Developmental Disability Administration (DDA) providers.</w:t>
      </w:r>
      <w:bookmarkStart w:id="0" w:name="_GoBack"/>
      <w:bookmarkEnd w:id="0"/>
    </w:p>
    <w:p w14:paraId="61728513" w14:textId="334F2849" w:rsidR="00C54770" w:rsidRPr="00065591" w:rsidRDefault="00C54770" w:rsidP="00C54770">
      <w:pPr>
        <w:pStyle w:val="ListParagraph"/>
        <w:numPr>
          <w:ilvl w:val="0"/>
          <w:numId w:val="10"/>
        </w:numPr>
        <w:jc w:val="both"/>
        <w:outlineLvl w:val="0"/>
        <w:rPr>
          <w:rFonts w:asciiTheme="majorHAnsi" w:eastAsia="Times New Roman" w:hAnsiTheme="majorHAnsi" w:cs="Times New Roman"/>
          <w:bCs/>
          <w:i/>
          <w:iCs/>
          <w:color w:val="262626" w:themeColor="text1" w:themeTint="D9"/>
          <w:sz w:val="26"/>
          <w:szCs w:val="26"/>
        </w:rPr>
      </w:pPr>
      <w:r w:rsidRPr="00065591">
        <w:rPr>
          <w:rFonts w:asciiTheme="majorHAnsi" w:eastAsia="Times New Roman" w:hAnsiTheme="majorHAnsi" w:cs="Times New Roman"/>
          <w:bCs/>
          <w:i/>
          <w:iCs/>
          <w:color w:val="262626" w:themeColor="text1" w:themeTint="D9"/>
          <w:sz w:val="26"/>
          <w:szCs w:val="26"/>
        </w:rPr>
        <w:t>Why were the new regulations adopted?</w:t>
      </w:r>
    </w:p>
    <w:p w14:paraId="3235550D" w14:textId="6D5419B7" w:rsidR="005F1E88" w:rsidRPr="00AB12B1" w:rsidRDefault="005F1E88" w:rsidP="005F1E88">
      <w:pPr>
        <w:ind w:left="720"/>
        <w:jc w:val="both"/>
        <w:outlineLvl w:val="0"/>
        <w:rPr>
          <w:rFonts w:asciiTheme="majorHAnsi" w:eastAsia="Times New Roman" w:hAnsiTheme="majorHAnsi" w:cs="Times New Roman"/>
          <w:bCs/>
          <w:color w:val="262626" w:themeColor="text1" w:themeTint="D9"/>
          <w:sz w:val="26"/>
          <w:szCs w:val="26"/>
        </w:rPr>
      </w:pPr>
      <w:r w:rsidRPr="00AB12B1">
        <w:rPr>
          <w:rFonts w:asciiTheme="majorHAnsi" w:eastAsia="Times New Roman" w:hAnsiTheme="majorHAnsi" w:cs="Times New Roman"/>
          <w:bCs/>
          <w:color w:val="262626" w:themeColor="text1" w:themeTint="D9"/>
          <w:sz w:val="26"/>
          <w:szCs w:val="26"/>
        </w:rPr>
        <w:t xml:space="preserve">To increase Developmental Disability Administration (DDA) provider rates by 3.5% to comply with the Fiscal Year 2020 budget. </w:t>
      </w:r>
    </w:p>
    <w:p w14:paraId="7EC93C8D" w14:textId="75C0CDAC" w:rsidR="00C54770" w:rsidRPr="00065591" w:rsidRDefault="00C54770" w:rsidP="00C54770">
      <w:pPr>
        <w:pStyle w:val="ListParagraph"/>
        <w:numPr>
          <w:ilvl w:val="0"/>
          <w:numId w:val="10"/>
        </w:numPr>
        <w:jc w:val="both"/>
        <w:outlineLvl w:val="0"/>
        <w:rPr>
          <w:rFonts w:asciiTheme="majorHAnsi" w:eastAsia="Times New Roman" w:hAnsiTheme="majorHAnsi" w:cs="Times New Roman"/>
          <w:bCs/>
          <w:i/>
          <w:iCs/>
          <w:color w:val="262626" w:themeColor="text1" w:themeTint="D9"/>
          <w:sz w:val="26"/>
          <w:szCs w:val="26"/>
        </w:rPr>
      </w:pPr>
      <w:r w:rsidRPr="00065591">
        <w:rPr>
          <w:rFonts w:asciiTheme="majorHAnsi" w:eastAsia="Times New Roman" w:hAnsiTheme="majorHAnsi" w:cs="Times New Roman"/>
          <w:bCs/>
          <w:i/>
          <w:iCs/>
          <w:color w:val="262626" w:themeColor="text1" w:themeTint="D9"/>
          <w:sz w:val="26"/>
          <w:szCs w:val="26"/>
        </w:rPr>
        <w:t>When are the regulations effective?</w:t>
      </w:r>
    </w:p>
    <w:p w14:paraId="4E6B7219" w14:textId="029A3779" w:rsidR="005F1E88" w:rsidRPr="00AB12B1" w:rsidRDefault="00357A43" w:rsidP="00357A43">
      <w:pPr>
        <w:ind w:left="720"/>
        <w:jc w:val="both"/>
        <w:outlineLvl w:val="0"/>
        <w:rPr>
          <w:rFonts w:asciiTheme="majorHAnsi" w:eastAsia="Times New Roman" w:hAnsiTheme="majorHAnsi" w:cs="Times New Roman"/>
          <w:bCs/>
          <w:color w:val="262626" w:themeColor="text1" w:themeTint="D9"/>
          <w:sz w:val="26"/>
          <w:szCs w:val="26"/>
        </w:rPr>
      </w:pPr>
      <w:r w:rsidRPr="00AB12B1">
        <w:rPr>
          <w:rFonts w:asciiTheme="majorHAnsi" w:eastAsia="Times New Roman" w:hAnsiTheme="majorHAnsi" w:cs="Times New Roman"/>
          <w:bCs/>
          <w:color w:val="262626" w:themeColor="text1" w:themeTint="D9"/>
          <w:sz w:val="26"/>
          <w:szCs w:val="26"/>
        </w:rPr>
        <w:t>The regulation will be effective July 1, 2019.</w:t>
      </w:r>
    </w:p>
    <w:p w14:paraId="560917FD" w14:textId="4392EF43" w:rsidR="00C54770" w:rsidRPr="00065591" w:rsidRDefault="00C54770" w:rsidP="00C54770">
      <w:pPr>
        <w:pStyle w:val="ListParagraph"/>
        <w:numPr>
          <w:ilvl w:val="0"/>
          <w:numId w:val="10"/>
        </w:numPr>
        <w:jc w:val="both"/>
        <w:outlineLvl w:val="0"/>
        <w:rPr>
          <w:rFonts w:asciiTheme="majorHAnsi" w:eastAsia="Times New Roman" w:hAnsiTheme="majorHAnsi" w:cs="Times New Roman"/>
          <w:bCs/>
          <w:i/>
          <w:iCs/>
          <w:color w:val="262626" w:themeColor="text1" w:themeTint="D9"/>
          <w:sz w:val="26"/>
          <w:szCs w:val="26"/>
        </w:rPr>
      </w:pPr>
      <w:r w:rsidRPr="00065591">
        <w:rPr>
          <w:rFonts w:asciiTheme="majorHAnsi" w:eastAsia="Times New Roman" w:hAnsiTheme="majorHAnsi" w:cs="Times New Roman"/>
          <w:bCs/>
          <w:i/>
          <w:iCs/>
          <w:color w:val="262626" w:themeColor="text1" w:themeTint="D9"/>
          <w:sz w:val="26"/>
          <w:szCs w:val="26"/>
        </w:rPr>
        <w:t>Is funding available to implement new requirements established by the regulation?</w:t>
      </w:r>
    </w:p>
    <w:p w14:paraId="714EDFCA" w14:textId="79862883" w:rsidR="00357A43" w:rsidRPr="00AB12B1" w:rsidRDefault="00357A43" w:rsidP="00357A43">
      <w:pPr>
        <w:ind w:left="720"/>
        <w:jc w:val="both"/>
        <w:outlineLvl w:val="0"/>
        <w:rPr>
          <w:rFonts w:asciiTheme="majorHAnsi" w:eastAsia="Times New Roman" w:hAnsiTheme="majorHAnsi" w:cs="Times New Roman"/>
          <w:bCs/>
          <w:color w:val="262626" w:themeColor="text1" w:themeTint="D9"/>
          <w:sz w:val="26"/>
          <w:szCs w:val="26"/>
        </w:rPr>
      </w:pPr>
      <w:r w:rsidRPr="00AB12B1">
        <w:rPr>
          <w:rFonts w:asciiTheme="majorHAnsi" w:eastAsia="Times New Roman" w:hAnsiTheme="majorHAnsi" w:cs="Times New Roman"/>
          <w:bCs/>
          <w:color w:val="262626" w:themeColor="text1" w:themeTint="D9"/>
          <w:sz w:val="26"/>
          <w:szCs w:val="26"/>
        </w:rPr>
        <w:t>The Fiscal Year 2020 budget includes funding for the rate increase.</w:t>
      </w:r>
    </w:p>
    <w:p w14:paraId="6AE1C8F1" w14:textId="77777777" w:rsidR="00357A43" w:rsidRPr="00065591" w:rsidRDefault="00C54770" w:rsidP="00BD1F4F">
      <w:pPr>
        <w:pStyle w:val="ListParagraph"/>
        <w:numPr>
          <w:ilvl w:val="0"/>
          <w:numId w:val="10"/>
        </w:numPr>
        <w:jc w:val="both"/>
        <w:outlineLvl w:val="0"/>
        <w:rPr>
          <w:rFonts w:asciiTheme="majorHAnsi" w:eastAsia="Times New Roman" w:hAnsiTheme="majorHAnsi" w:cs="Times New Roman"/>
          <w:bCs/>
          <w:i/>
          <w:iCs/>
          <w:color w:val="262626" w:themeColor="text1" w:themeTint="D9"/>
          <w:sz w:val="26"/>
          <w:szCs w:val="26"/>
        </w:rPr>
      </w:pPr>
      <w:r w:rsidRPr="00065591">
        <w:rPr>
          <w:rFonts w:asciiTheme="majorHAnsi" w:eastAsia="Times New Roman" w:hAnsiTheme="majorHAnsi" w:cs="Times New Roman"/>
          <w:bCs/>
          <w:i/>
          <w:iCs/>
          <w:color w:val="262626" w:themeColor="text1" w:themeTint="D9"/>
          <w:sz w:val="26"/>
          <w:szCs w:val="26"/>
        </w:rPr>
        <w:t>Are there other resources available for implementing the requirements of the regulation?</w:t>
      </w:r>
    </w:p>
    <w:p w14:paraId="15974467" w14:textId="52349EB0" w:rsidR="00357A43" w:rsidRPr="00AB12B1" w:rsidRDefault="00357A43" w:rsidP="00357A43">
      <w:pPr>
        <w:ind w:left="720"/>
        <w:jc w:val="both"/>
        <w:outlineLvl w:val="0"/>
        <w:rPr>
          <w:rFonts w:asciiTheme="majorHAnsi" w:eastAsia="Times New Roman" w:hAnsiTheme="majorHAnsi" w:cs="Times New Roman"/>
          <w:bCs/>
          <w:color w:val="262626" w:themeColor="text1" w:themeTint="D9"/>
          <w:sz w:val="26"/>
          <w:szCs w:val="26"/>
        </w:rPr>
      </w:pPr>
      <w:r w:rsidRPr="00AB12B1">
        <w:rPr>
          <w:rFonts w:asciiTheme="majorHAnsi" w:eastAsia="Times New Roman" w:hAnsiTheme="majorHAnsi" w:cs="Times New Roman"/>
          <w:bCs/>
          <w:color w:val="262626" w:themeColor="text1" w:themeTint="D9"/>
          <w:sz w:val="26"/>
          <w:szCs w:val="26"/>
        </w:rPr>
        <w:t>No.</w:t>
      </w:r>
    </w:p>
    <w:p w14:paraId="6F249A65" w14:textId="72E6A6BB" w:rsidR="00C54770" w:rsidRPr="00065591" w:rsidRDefault="00C54770" w:rsidP="00BD1F4F">
      <w:pPr>
        <w:pStyle w:val="ListParagraph"/>
        <w:numPr>
          <w:ilvl w:val="0"/>
          <w:numId w:val="10"/>
        </w:numPr>
        <w:jc w:val="both"/>
        <w:outlineLvl w:val="0"/>
        <w:rPr>
          <w:rFonts w:asciiTheme="majorHAnsi" w:eastAsia="Times New Roman" w:hAnsiTheme="majorHAnsi" w:cs="Times New Roman"/>
          <w:bCs/>
          <w:i/>
          <w:iCs/>
          <w:color w:val="262626" w:themeColor="text1" w:themeTint="D9"/>
          <w:sz w:val="26"/>
          <w:szCs w:val="26"/>
        </w:rPr>
      </w:pPr>
      <w:r w:rsidRPr="00065591">
        <w:rPr>
          <w:rFonts w:asciiTheme="majorHAnsi" w:eastAsia="Times New Roman" w:hAnsiTheme="majorHAnsi" w:cs="Times New Roman"/>
          <w:bCs/>
          <w:i/>
          <w:iCs/>
          <w:color w:val="262626" w:themeColor="text1" w:themeTint="D9"/>
          <w:sz w:val="26"/>
          <w:szCs w:val="26"/>
        </w:rPr>
        <w:t>Is there assistance available to help understand the requirements of the regulation?</w:t>
      </w:r>
    </w:p>
    <w:p w14:paraId="47B8A565" w14:textId="651DF1E4" w:rsidR="00357A43" w:rsidRPr="00AB12B1" w:rsidRDefault="00357A43" w:rsidP="00357A43">
      <w:pPr>
        <w:ind w:left="720"/>
        <w:jc w:val="both"/>
        <w:outlineLvl w:val="0"/>
        <w:rPr>
          <w:rFonts w:asciiTheme="majorHAnsi" w:eastAsia="Times New Roman" w:hAnsiTheme="majorHAnsi" w:cs="Times New Roman"/>
          <w:bCs/>
          <w:color w:val="262626" w:themeColor="text1" w:themeTint="D9"/>
          <w:sz w:val="26"/>
          <w:szCs w:val="26"/>
        </w:rPr>
      </w:pPr>
      <w:r w:rsidRPr="00AB12B1">
        <w:rPr>
          <w:rFonts w:asciiTheme="majorHAnsi" w:eastAsia="Times New Roman" w:hAnsiTheme="majorHAnsi" w:cs="Times New Roman"/>
          <w:bCs/>
          <w:color w:val="262626" w:themeColor="text1" w:themeTint="D9"/>
          <w:sz w:val="26"/>
          <w:szCs w:val="26"/>
        </w:rPr>
        <w:t xml:space="preserve">You may contact Ron Peele (410) 767-5633 if you need further information regarding the 3.5% rate increase </w:t>
      </w:r>
      <w:r w:rsidR="00F7617B" w:rsidRPr="00AB12B1">
        <w:rPr>
          <w:rFonts w:asciiTheme="majorHAnsi" w:eastAsia="Times New Roman" w:hAnsiTheme="majorHAnsi" w:cs="Times New Roman"/>
          <w:bCs/>
          <w:color w:val="262626" w:themeColor="text1" w:themeTint="D9"/>
          <w:sz w:val="26"/>
          <w:szCs w:val="26"/>
        </w:rPr>
        <w:t>in this regulation.</w:t>
      </w:r>
    </w:p>
    <w:p w14:paraId="7A5F641F" w14:textId="77777777" w:rsidR="00F7617B" w:rsidRPr="00AB12B1" w:rsidRDefault="00F7617B" w:rsidP="00C54770">
      <w:pPr>
        <w:jc w:val="both"/>
        <w:outlineLvl w:val="0"/>
        <w:rPr>
          <w:rFonts w:asciiTheme="majorHAnsi" w:eastAsia="Times New Roman" w:hAnsiTheme="majorHAnsi" w:cs="Times New Roman"/>
          <w:bCs/>
          <w:color w:val="262626" w:themeColor="text1" w:themeTint="D9"/>
          <w:sz w:val="26"/>
          <w:szCs w:val="26"/>
        </w:rPr>
      </w:pPr>
    </w:p>
    <w:p w14:paraId="391F0C65" w14:textId="0E617A83" w:rsidR="00C54770" w:rsidRPr="00AB12B1" w:rsidRDefault="00C54770" w:rsidP="00C54770">
      <w:pPr>
        <w:jc w:val="both"/>
        <w:outlineLvl w:val="0"/>
        <w:rPr>
          <w:rFonts w:asciiTheme="majorHAnsi" w:eastAsia="Times New Roman" w:hAnsiTheme="majorHAnsi" w:cs="Times New Roman"/>
          <w:bCs/>
          <w:color w:val="262626" w:themeColor="text1" w:themeTint="D9"/>
          <w:sz w:val="26"/>
          <w:szCs w:val="26"/>
        </w:rPr>
      </w:pPr>
      <w:r w:rsidRPr="00AB12B1">
        <w:rPr>
          <w:rFonts w:asciiTheme="majorHAnsi" w:eastAsia="Times New Roman" w:hAnsiTheme="majorHAnsi" w:cs="Times New Roman"/>
          <w:bCs/>
          <w:color w:val="262626" w:themeColor="text1" w:themeTint="D9"/>
          <w:sz w:val="26"/>
          <w:szCs w:val="26"/>
        </w:rPr>
        <w:t>Key Terms and Definitions</w:t>
      </w:r>
    </w:p>
    <w:p w14:paraId="48D59A95" w14:textId="45982F67" w:rsidR="00F7617B" w:rsidRPr="00AB12B1" w:rsidRDefault="00F7617B" w:rsidP="00C54770">
      <w:pPr>
        <w:jc w:val="both"/>
        <w:outlineLvl w:val="0"/>
        <w:rPr>
          <w:rFonts w:asciiTheme="majorHAnsi" w:eastAsia="Times New Roman" w:hAnsiTheme="majorHAnsi" w:cs="Times New Roman"/>
          <w:bCs/>
          <w:color w:val="262626" w:themeColor="text1" w:themeTint="D9"/>
          <w:sz w:val="26"/>
          <w:szCs w:val="26"/>
        </w:rPr>
      </w:pPr>
      <w:r w:rsidRPr="00AB12B1">
        <w:rPr>
          <w:rFonts w:asciiTheme="majorHAnsi" w:eastAsia="Times New Roman" w:hAnsiTheme="majorHAnsi" w:cs="Times New Roman"/>
          <w:bCs/>
          <w:color w:val="262626" w:themeColor="text1" w:themeTint="D9"/>
          <w:sz w:val="26"/>
          <w:szCs w:val="26"/>
        </w:rPr>
        <w:t>Not applicable.</w:t>
      </w:r>
    </w:p>
    <w:sectPr w:rsidR="00F7617B" w:rsidRPr="00AB12B1" w:rsidSect="001E5425">
      <w:type w:val="continuous"/>
      <w:pgSz w:w="12240" w:h="15840"/>
      <w:pgMar w:top="1080" w:right="1260" w:bottom="900" w:left="1350" w:header="0" w:footer="720" w:gutter="0"/>
      <w:pgNumType w:start="1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FB695A" w14:textId="77777777" w:rsidR="005C7BF9" w:rsidRDefault="005C7BF9">
      <w:pPr>
        <w:spacing w:after="0" w:line="240" w:lineRule="auto"/>
      </w:pPr>
      <w:r>
        <w:separator/>
      </w:r>
    </w:p>
  </w:endnote>
  <w:endnote w:type="continuationSeparator" w:id="0">
    <w:p w14:paraId="2F3E89FF" w14:textId="77777777" w:rsidR="005C7BF9" w:rsidRDefault="005C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F284F9" w14:textId="77777777" w:rsidR="001E5425" w:rsidRDefault="001E5425" w:rsidP="001E5425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36788A9" w14:textId="77777777" w:rsidR="001E5425" w:rsidRDefault="001E5425" w:rsidP="001E542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A456B9" w14:textId="77777777" w:rsidR="001E5425" w:rsidRPr="001E5425" w:rsidRDefault="001E5425" w:rsidP="001E5425">
    <w:pPr>
      <w:pStyle w:val="Footer"/>
      <w:framePr w:wrap="none" w:vAnchor="text" w:hAnchor="margin" w:xAlign="right" w:y="1"/>
      <w:rPr>
        <w:rStyle w:val="PageNumber"/>
        <w:rFonts w:ascii="Times" w:hAnsi="Times"/>
      </w:rPr>
    </w:pPr>
    <w:r w:rsidRPr="001E5425">
      <w:rPr>
        <w:rStyle w:val="PageNumber"/>
        <w:rFonts w:ascii="Times" w:hAnsi="Times"/>
      </w:rPr>
      <w:fldChar w:fldCharType="begin"/>
    </w:r>
    <w:r w:rsidRPr="001E5425">
      <w:rPr>
        <w:rStyle w:val="PageNumber"/>
        <w:rFonts w:ascii="Times" w:hAnsi="Times"/>
      </w:rPr>
      <w:instrText xml:space="preserve">PAGE  </w:instrText>
    </w:r>
    <w:r w:rsidRPr="001E5425">
      <w:rPr>
        <w:rStyle w:val="PageNumber"/>
        <w:rFonts w:ascii="Times" w:hAnsi="Times"/>
      </w:rPr>
      <w:fldChar w:fldCharType="separate"/>
    </w:r>
    <w:r w:rsidR="00AB12B1">
      <w:rPr>
        <w:rStyle w:val="PageNumber"/>
        <w:rFonts w:ascii="Times" w:hAnsi="Times"/>
        <w:noProof/>
      </w:rPr>
      <w:t>2</w:t>
    </w:r>
    <w:r w:rsidRPr="001E5425">
      <w:rPr>
        <w:rStyle w:val="PageNumber"/>
        <w:rFonts w:ascii="Times" w:hAnsi="Times"/>
      </w:rPr>
      <w:fldChar w:fldCharType="end"/>
    </w:r>
  </w:p>
  <w:p w14:paraId="2C94B9B0" w14:textId="77777777" w:rsidR="001E5425" w:rsidRDefault="001E5425" w:rsidP="001E5425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2DFEC4" w14:textId="77777777" w:rsidR="00C00F70" w:rsidRDefault="00C00F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378FE6" w14:textId="77777777" w:rsidR="005C7BF9" w:rsidRDefault="005C7BF9">
      <w:pPr>
        <w:spacing w:after="0" w:line="240" w:lineRule="auto"/>
      </w:pPr>
      <w:r>
        <w:separator/>
      </w:r>
    </w:p>
  </w:footnote>
  <w:footnote w:type="continuationSeparator" w:id="0">
    <w:p w14:paraId="0C9EB2B6" w14:textId="77777777" w:rsidR="005C7BF9" w:rsidRDefault="005C7B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82A9AF" w14:textId="77777777" w:rsidR="00523056" w:rsidRDefault="005230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36A746" w14:textId="77777777" w:rsidR="00EB53E8" w:rsidRDefault="00EB53E8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19390C" w14:textId="77777777" w:rsidR="00EB53E8" w:rsidRDefault="00ED1AA2">
    <w:pPr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534EC22" wp14:editId="2375B031">
          <wp:simplePos x="0" y="0"/>
          <wp:positionH relativeFrom="margin">
            <wp:align>center</wp:align>
          </wp:positionH>
          <wp:positionV relativeFrom="paragraph">
            <wp:posOffset>233680</wp:posOffset>
          </wp:positionV>
          <wp:extent cx="2377440" cy="1216152"/>
          <wp:effectExtent l="0" t="0" r="0" b="3175"/>
          <wp:wrapNone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7086" b="7086"/>
                  <a:stretch>
                    <a:fillRect/>
                  </a:stretch>
                </pic:blipFill>
                <pic:spPr>
                  <a:xfrm>
                    <a:off x="0" y="0"/>
                    <a:ext cx="2377440" cy="1216152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257D2A"/>
    <w:multiLevelType w:val="multilevel"/>
    <w:tmpl w:val="0F269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D7032B"/>
    <w:multiLevelType w:val="multilevel"/>
    <w:tmpl w:val="799CD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7D5364"/>
    <w:multiLevelType w:val="multilevel"/>
    <w:tmpl w:val="C038A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E76FC9"/>
    <w:multiLevelType w:val="hybridMultilevel"/>
    <w:tmpl w:val="A87AD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5652D5"/>
    <w:multiLevelType w:val="multilevel"/>
    <w:tmpl w:val="DAD48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E43B4F"/>
    <w:multiLevelType w:val="multilevel"/>
    <w:tmpl w:val="2446D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FB60F0"/>
    <w:multiLevelType w:val="multilevel"/>
    <w:tmpl w:val="49605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BC0AB7"/>
    <w:multiLevelType w:val="multilevel"/>
    <w:tmpl w:val="94445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C14B02"/>
    <w:multiLevelType w:val="multilevel"/>
    <w:tmpl w:val="BE1A7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6B030A"/>
    <w:multiLevelType w:val="multilevel"/>
    <w:tmpl w:val="A4609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8"/>
  </w:num>
  <w:num w:numId="3">
    <w:abstractNumId w:val="9"/>
  </w:num>
  <w:num w:numId="4">
    <w:abstractNumId w:val="1"/>
  </w:num>
  <w:num w:numId="5">
    <w:abstractNumId w:val="5"/>
  </w:num>
  <w:num w:numId="6">
    <w:abstractNumId w:val="4"/>
  </w:num>
  <w:num w:numId="7">
    <w:abstractNumId w:val="6"/>
  </w:num>
  <w:num w:numId="8">
    <w:abstractNumId w:val="0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ocumentProtection w:edit="forms" w:enforcement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3E8"/>
    <w:rsid w:val="000515FB"/>
    <w:rsid w:val="00065591"/>
    <w:rsid w:val="00185DC5"/>
    <w:rsid w:val="001E1D17"/>
    <w:rsid w:val="001E5425"/>
    <w:rsid w:val="00325D26"/>
    <w:rsid w:val="00357A43"/>
    <w:rsid w:val="00363CD0"/>
    <w:rsid w:val="003A30D4"/>
    <w:rsid w:val="003F7854"/>
    <w:rsid w:val="00433DC7"/>
    <w:rsid w:val="00464B1E"/>
    <w:rsid w:val="00523056"/>
    <w:rsid w:val="005C7BF9"/>
    <w:rsid w:val="005F0C5E"/>
    <w:rsid w:val="005F1E88"/>
    <w:rsid w:val="006050DD"/>
    <w:rsid w:val="00680600"/>
    <w:rsid w:val="0074257A"/>
    <w:rsid w:val="007852FA"/>
    <w:rsid w:val="007B5A46"/>
    <w:rsid w:val="008B23F6"/>
    <w:rsid w:val="00920125"/>
    <w:rsid w:val="0092396A"/>
    <w:rsid w:val="00AB12B1"/>
    <w:rsid w:val="00B01F11"/>
    <w:rsid w:val="00B26145"/>
    <w:rsid w:val="00B545F8"/>
    <w:rsid w:val="00BF28CB"/>
    <w:rsid w:val="00C00F70"/>
    <w:rsid w:val="00C3781D"/>
    <w:rsid w:val="00C54770"/>
    <w:rsid w:val="00CD2EAA"/>
    <w:rsid w:val="00CD45A6"/>
    <w:rsid w:val="00DB6049"/>
    <w:rsid w:val="00DD4BD2"/>
    <w:rsid w:val="00DE4F88"/>
    <w:rsid w:val="00EB53E8"/>
    <w:rsid w:val="00ED1AA2"/>
    <w:rsid w:val="00EF5B75"/>
    <w:rsid w:val="00F00314"/>
    <w:rsid w:val="00F05AE4"/>
    <w:rsid w:val="00F138BA"/>
    <w:rsid w:val="00F76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AF44EA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B01F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1F11"/>
  </w:style>
  <w:style w:type="paragraph" w:styleId="Footer">
    <w:name w:val="footer"/>
    <w:basedOn w:val="Normal"/>
    <w:link w:val="FooterChar"/>
    <w:uiPriority w:val="99"/>
    <w:unhideWhenUsed/>
    <w:rsid w:val="00B01F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1F11"/>
  </w:style>
  <w:style w:type="table" w:styleId="TableGrid">
    <w:name w:val="Table Grid"/>
    <w:basedOn w:val="TableNormal"/>
    <w:uiPriority w:val="39"/>
    <w:rsid w:val="00F138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1E5425"/>
  </w:style>
  <w:style w:type="paragraph" w:styleId="NormalWeb">
    <w:name w:val="Normal (Web)"/>
    <w:basedOn w:val="Normal"/>
    <w:uiPriority w:val="99"/>
    <w:semiHidden/>
    <w:unhideWhenUsed/>
    <w:rsid w:val="005F0C5E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230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305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305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30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305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3056"/>
    <w:pPr>
      <w:spacing w:after="0" w:line="240" w:lineRule="auto"/>
    </w:pPr>
    <w:rPr>
      <w:rFonts w:ascii="Times New Roman" w:hAnsi="Times New Roman" w:cs="Times New Roman"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056"/>
    <w:rPr>
      <w:rFonts w:ascii="Times New Roman" w:hAnsi="Times New Roman" w:cs="Times New Roman"/>
      <w:sz w:val="26"/>
      <w:szCs w:val="26"/>
    </w:rPr>
  </w:style>
  <w:style w:type="character" w:styleId="Hyperlink">
    <w:name w:val="Hyperlink"/>
    <w:basedOn w:val="DefaultParagraphFont"/>
    <w:uiPriority w:val="99"/>
    <w:semiHidden/>
    <w:unhideWhenUsed/>
    <w:rsid w:val="0052305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547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528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EC7C3B402FDA41942B42A45FE06875" ma:contentTypeVersion="15" ma:contentTypeDescription="Create a new document." ma:contentTypeScope="" ma:versionID="2f391cf39168661b3666bfedaef897c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b91acf0173590172983a49406d704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" ma:hidden="tru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5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46DD65B6-AB82-4206-9B1E-5FA4CD525DBF}"/>
</file>

<file path=customXml/itemProps2.xml><?xml version="1.0" encoding="utf-8"?>
<ds:datastoreItem xmlns:ds="http://schemas.openxmlformats.org/officeDocument/2006/customXml" ds:itemID="{22D2913C-BE60-4F4B-816A-1EECDA9999AE}"/>
</file>

<file path=customXml/itemProps3.xml><?xml version="1.0" encoding="utf-8"?>
<ds:datastoreItem xmlns:ds="http://schemas.openxmlformats.org/officeDocument/2006/customXml" ds:itemID="{81DC7839-03E0-437B-BCAB-8822AD6F6AE4}"/>
</file>

<file path=customXml/itemProps4.xml><?xml version="1.0" encoding="utf-8"?>
<ds:datastoreItem xmlns:ds="http://schemas.openxmlformats.org/officeDocument/2006/customXml" ds:itemID="{7B2AFD5B-4B1B-4671-8EE5-F911E01338BF}"/>
</file>

<file path=customXml/itemProps5.xml><?xml version="1.0" encoding="utf-8"?>
<ds:datastoreItem xmlns:ds="http://schemas.openxmlformats.org/officeDocument/2006/customXml" ds:itemID="{8CE40E70-3817-4AEE-A68E-D1CEB745A0C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Carin Morrell</dc:creator>
  <cp:lastModifiedBy>Jourdan Green</cp:lastModifiedBy>
  <cp:revision>2</cp:revision>
  <dcterms:created xsi:type="dcterms:W3CDTF">2019-08-01T11:13:00Z</dcterms:created>
  <dcterms:modified xsi:type="dcterms:W3CDTF">2019-08-01T11:13:00Z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6c25a4a7-9da8-477b-8f28-93ae4c083633</vt:lpwstr>
  </property>
  <property fmtid="{D5CDD505-2E9C-101B-9397-08002B2CF9AE}" pid="3" name="ContentTypeId">
    <vt:lpwstr>0x01010043EC7C3B402FDA41942B42A45FE06875</vt:lpwstr>
  </property>
</Properties>
</file>