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2F17F" w14:textId="77777777" w:rsidR="00FC73E8" w:rsidRDefault="00FC73E8" w:rsidP="00FC73E8">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5275953" w14:textId="77777777" w:rsidR="00FC73E8" w:rsidRDefault="00FC73E8" w:rsidP="00FC73E8">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219A83DF" w14:textId="0BE90F96" w:rsidR="00FC73E8" w:rsidRDefault="00FC73E8" w:rsidP="00FC73E8">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sidR="00D0401F">
        <w:rPr>
          <w:rFonts w:ascii="Arial" w:eastAsia="Times New Roman" w:hAnsi="Arial" w:cs="Arial"/>
          <w:b/>
          <w:bCs/>
          <w:color w:val="000080"/>
          <w:sz w:val="28"/>
          <w:szCs w:val="28"/>
        </w:rPr>
        <w:t>January 3, 2020</w:t>
      </w:r>
    </w:p>
    <w:p w14:paraId="3FC1B6C3" w14:textId="0FC26E01" w:rsidR="00FC73E8" w:rsidRDefault="00FC73E8" w:rsidP="00FC73E8">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w:t>
      </w:r>
      <w:r w:rsidR="00D0401F">
        <w:rPr>
          <w:rFonts w:ascii="Arial" w:eastAsia="Times New Roman" w:hAnsi="Arial" w:cs="Arial"/>
          <w:b/>
          <w:color w:val="000080"/>
          <w:sz w:val="28"/>
          <w:szCs w:val="28"/>
        </w:rPr>
        <w:t>7</w:t>
      </w:r>
      <w:r>
        <w:rPr>
          <w:rFonts w:ascii="Arial" w:eastAsia="Times New Roman" w:hAnsi="Arial" w:cs="Arial"/>
          <w:b/>
          <w:color w:val="000080"/>
          <w:sz w:val="28"/>
          <w:szCs w:val="28"/>
        </w:rPr>
        <w:t xml:space="preserve"> • Issue </w:t>
      </w:r>
      <w:r w:rsidR="00D0401F">
        <w:rPr>
          <w:rFonts w:ascii="Arial" w:eastAsia="Times New Roman" w:hAnsi="Arial" w:cs="Arial"/>
          <w:b/>
          <w:color w:val="000080"/>
          <w:sz w:val="28"/>
          <w:szCs w:val="28"/>
        </w:rPr>
        <w:t>1</w:t>
      </w:r>
      <w:r>
        <w:rPr>
          <w:rFonts w:ascii="Arial" w:eastAsia="Times New Roman" w:hAnsi="Arial" w:cs="Arial"/>
          <w:b/>
          <w:color w:val="000080"/>
          <w:sz w:val="28"/>
          <w:szCs w:val="28"/>
        </w:rPr>
        <w:t xml:space="preserve"> • Page </w:t>
      </w:r>
      <w:r w:rsidR="00D0401F">
        <w:rPr>
          <w:rFonts w:ascii="Arial" w:eastAsia="Times New Roman" w:hAnsi="Arial" w:cs="Arial"/>
          <w:b/>
          <w:color w:val="000080"/>
          <w:sz w:val="28"/>
          <w:szCs w:val="28"/>
        </w:rPr>
        <w:t>23-24</w:t>
      </w:r>
      <w:bookmarkStart w:id="0" w:name="_GoBack"/>
      <w:bookmarkEnd w:id="0"/>
    </w:p>
    <w:p w14:paraId="058D2BE3" w14:textId="77777777" w:rsidR="00FC73E8" w:rsidRPr="00085EB6" w:rsidRDefault="00FC73E8" w:rsidP="00FC73E8">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1D22809A" w14:textId="77777777" w:rsidR="00D0401F" w:rsidRPr="00D0401F" w:rsidRDefault="00D0401F" w:rsidP="00D0401F">
      <w:pPr>
        <w:spacing w:after="80" w:line="240" w:lineRule="auto"/>
        <w:jc w:val="center"/>
        <w:rPr>
          <w:rFonts w:ascii="Times New Roman" w:eastAsia="Times New Roman" w:hAnsi="Times New Roman"/>
          <w:b/>
          <w:bCs/>
          <w:color w:val="000000"/>
          <w:sz w:val="28"/>
          <w:szCs w:val="28"/>
        </w:rPr>
      </w:pPr>
      <w:r w:rsidRPr="00D0401F">
        <w:rPr>
          <w:rFonts w:ascii="Times New Roman" w:eastAsia="Times New Roman" w:hAnsi="Times New Roman"/>
          <w:b/>
          <w:bCs/>
          <w:color w:val="000000"/>
          <w:sz w:val="28"/>
          <w:szCs w:val="28"/>
        </w:rPr>
        <w:t>Subtitle 09 MEDICAL CARE PROGRAMS</w:t>
      </w:r>
    </w:p>
    <w:p w14:paraId="4FAC519C" w14:textId="77777777" w:rsidR="00D0401F" w:rsidRPr="00D0401F" w:rsidRDefault="00D0401F" w:rsidP="00D0401F">
      <w:pPr>
        <w:spacing w:after="120" w:line="240" w:lineRule="auto"/>
        <w:ind w:left="158" w:hanging="158"/>
        <w:jc w:val="both"/>
        <w:rPr>
          <w:rFonts w:ascii="Times New Roman" w:eastAsia="Times New Roman" w:hAnsi="Times New Roman"/>
          <w:b/>
          <w:bCs/>
          <w:color w:val="000000"/>
          <w:sz w:val="27"/>
          <w:szCs w:val="27"/>
        </w:rPr>
      </w:pPr>
      <w:bookmarkStart w:id="1" w:name="_Toc28516497"/>
      <w:bookmarkEnd w:id="1"/>
      <w:r w:rsidRPr="00D0401F">
        <w:rPr>
          <w:rFonts w:ascii="Times New Roman" w:eastAsia="Times New Roman" w:hAnsi="Times New Roman"/>
          <w:b/>
          <w:bCs/>
          <w:color w:val="000000"/>
          <w:sz w:val="27"/>
          <w:szCs w:val="27"/>
        </w:rPr>
        <w:t>10.09.89 1915(</w:t>
      </w:r>
      <w:proofErr w:type="spellStart"/>
      <w:r w:rsidRPr="00D0401F">
        <w:rPr>
          <w:rFonts w:ascii="Times New Roman" w:eastAsia="Times New Roman" w:hAnsi="Times New Roman"/>
          <w:b/>
          <w:bCs/>
          <w:color w:val="000000"/>
          <w:sz w:val="27"/>
          <w:szCs w:val="27"/>
        </w:rPr>
        <w:t>i</w:t>
      </w:r>
      <w:proofErr w:type="spellEnd"/>
      <w:r w:rsidRPr="00D0401F">
        <w:rPr>
          <w:rFonts w:ascii="Times New Roman" w:eastAsia="Times New Roman" w:hAnsi="Times New Roman"/>
          <w:b/>
          <w:bCs/>
          <w:color w:val="000000"/>
          <w:sz w:val="27"/>
          <w:szCs w:val="27"/>
        </w:rPr>
        <w:t>) Intensive Behavioral Health Services for Children, Youth, and Families</w:t>
      </w:r>
    </w:p>
    <w:p w14:paraId="20C3BA52" w14:textId="77777777" w:rsidR="00D0401F" w:rsidRPr="00D0401F" w:rsidRDefault="00D0401F" w:rsidP="00D0401F">
      <w:pPr>
        <w:spacing w:before="120" w:after="0" w:line="240" w:lineRule="auto"/>
        <w:jc w:val="center"/>
        <w:rPr>
          <w:rFonts w:ascii="Times New Roman" w:eastAsia="Times New Roman" w:hAnsi="Times New Roman"/>
          <w:color w:val="000000"/>
          <w:sz w:val="16"/>
          <w:szCs w:val="16"/>
        </w:rPr>
      </w:pPr>
      <w:r w:rsidRPr="00D0401F">
        <w:rPr>
          <w:rFonts w:ascii="Times New Roman" w:eastAsia="Times New Roman" w:hAnsi="Times New Roman"/>
          <w:color w:val="000000"/>
          <w:sz w:val="16"/>
          <w:szCs w:val="16"/>
        </w:rPr>
        <w:t>Authority: Health-General Article, §2-104(b), Annotated Code of Maryland</w:t>
      </w:r>
    </w:p>
    <w:p w14:paraId="0FCF9DCE"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Notice of Proposed Action</w:t>
      </w:r>
    </w:p>
    <w:p w14:paraId="2AE59C4A" w14:textId="77777777" w:rsidR="00D0401F" w:rsidRPr="00D0401F" w:rsidRDefault="00D0401F" w:rsidP="00D0401F">
      <w:pPr>
        <w:spacing w:before="40" w:after="40" w:line="240" w:lineRule="auto"/>
        <w:jc w:val="center"/>
        <w:rPr>
          <w:rFonts w:ascii="Times New Roman" w:eastAsia="Times New Roman" w:hAnsi="Times New Roman"/>
          <w:color w:val="000000"/>
          <w:sz w:val="16"/>
          <w:szCs w:val="16"/>
        </w:rPr>
      </w:pPr>
      <w:r w:rsidRPr="00D0401F">
        <w:rPr>
          <w:rFonts w:ascii="Times New Roman" w:eastAsia="Times New Roman" w:hAnsi="Times New Roman"/>
          <w:color w:val="000000"/>
          <w:sz w:val="16"/>
          <w:szCs w:val="16"/>
        </w:rPr>
        <w:t>[19-265-P]</w:t>
      </w:r>
    </w:p>
    <w:p w14:paraId="45A97C0E" w14:textId="77777777" w:rsidR="00D0401F" w:rsidRPr="00D0401F" w:rsidRDefault="00D0401F" w:rsidP="00D0401F">
      <w:pPr>
        <w:spacing w:after="0" w:line="240" w:lineRule="auto"/>
        <w:jc w:val="both"/>
        <w:rPr>
          <w:rFonts w:ascii="Times New Roman" w:eastAsia="Times New Roman" w:hAnsi="Times New Roman"/>
          <w:color w:val="000000"/>
          <w:sz w:val="18"/>
          <w:szCs w:val="18"/>
        </w:rPr>
      </w:pPr>
      <w:r w:rsidRPr="00D0401F">
        <w:rPr>
          <w:rFonts w:ascii="Times" w:eastAsia="Times New Roman" w:hAnsi="Times" w:cs="Times"/>
          <w:color w:val="000000"/>
          <w:sz w:val="18"/>
          <w:szCs w:val="18"/>
        </w:rPr>
        <w:t>     The Secretary of Health proposes to amend Regulations </w:t>
      </w:r>
      <w:r w:rsidRPr="00D0401F">
        <w:rPr>
          <w:rFonts w:ascii="Times" w:eastAsia="Times New Roman" w:hAnsi="Times" w:cs="Times"/>
          <w:b/>
          <w:bCs/>
          <w:color w:val="000000"/>
          <w:sz w:val="18"/>
          <w:szCs w:val="18"/>
        </w:rPr>
        <w:t>.09—.12</w:t>
      </w:r>
      <w:r w:rsidRPr="00D0401F">
        <w:rPr>
          <w:rFonts w:ascii="Times" w:eastAsia="Times New Roman" w:hAnsi="Times" w:cs="Times"/>
          <w:color w:val="000000"/>
          <w:sz w:val="18"/>
          <w:szCs w:val="18"/>
        </w:rPr>
        <w:t> under </w:t>
      </w:r>
      <w:r w:rsidRPr="00D0401F">
        <w:rPr>
          <w:rFonts w:ascii="Times" w:eastAsia="Times New Roman" w:hAnsi="Times" w:cs="Times"/>
          <w:b/>
          <w:bCs/>
          <w:color w:val="000000"/>
          <w:sz w:val="18"/>
          <w:szCs w:val="18"/>
        </w:rPr>
        <w:t>COMAR 10.09.89</w:t>
      </w:r>
      <w:r w:rsidRPr="00D0401F">
        <w:rPr>
          <w:rFonts w:ascii="Times" w:eastAsia="Times New Roman" w:hAnsi="Times" w:cs="Times"/>
          <w:color w:val="000000"/>
          <w:sz w:val="18"/>
          <w:szCs w:val="18"/>
        </w:rPr>
        <w:t> </w:t>
      </w:r>
      <w:r w:rsidRPr="00D0401F">
        <w:rPr>
          <w:rFonts w:ascii="Times" w:eastAsia="Times New Roman" w:hAnsi="Times" w:cs="Times"/>
          <w:b/>
          <w:bCs/>
          <w:color w:val="000000"/>
          <w:sz w:val="18"/>
          <w:szCs w:val="18"/>
        </w:rPr>
        <w:t>1915(</w:t>
      </w:r>
      <w:proofErr w:type="spellStart"/>
      <w:r w:rsidRPr="00D0401F">
        <w:rPr>
          <w:rFonts w:ascii="Times" w:eastAsia="Times New Roman" w:hAnsi="Times" w:cs="Times"/>
          <w:b/>
          <w:bCs/>
          <w:color w:val="000000"/>
          <w:sz w:val="18"/>
          <w:szCs w:val="18"/>
        </w:rPr>
        <w:t>i</w:t>
      </w:r>
      <w:proofErr w:type="spellEnd"/>
      <w:r w:rsidRPr="00D0401F">
        <w:rPr>
          <w:rFonts w:ascii="Times" w:eastAsia="Times New Roman" w:hAnsi="Times" w:cs="Times"/>
          <w:b/>
          <w:bCs/>
          <w:color w:val="000000"/>
          <w:sz w:val="18"/>
          <w:szCs w:val="18"/>
        </w:rPr>
        <w:t>) Intensive Behavioral Health Services for Children, Youth, and Families</w:t>
      </w:r>
      <w:r w:rsidRPr="00D0401F">
        <w:rPr>
          <w:rFonts w:ascii="Times" w:eastAsia="Times New Roman" w:hAnsi="Times" w:cs="Times"/>
          <w:color w:val="000000"/>
          <w:sz w:val="18"/>
          <w:szCs w:val="18"/>
        </w:rPr>
        <w:t>.</w:t>
      </w:r>
    </w:p>
    <w:p w14:paraId="1208EF45"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Statement of Purpose</w:t>
      </w:r>
    </w:p>
    <w:p w14:paraId="7BCFD6CC"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The purpose of this action is to implement a 3.5 percent rate increase in accordance with the Fiscal Year (FY) 2020 State budget, effective July 1, 2019.</w:t>
      </w:r>
    </w:p>
    <w:p w14:paraId="6F703ACE"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Comparison to Federal Standards</w:t>
      </w:r>
    </w:p>
    <w:p w14:paraId="3F8CE3DA"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There is no corresponding federal standard to this proposed action.</w:t>
      </w:r>
    </w:p>
    <w:p w14:paraId="1B0DF525" w14:textId="77777777" w:rsidR="00D0401F" w:rsidRPr="00D0401F" w:rsidRDefault="00D0401F" w:rsidP="00D0401F">
      <w:pPr>
        <w:spacing w:after="0" w:line="240" w:lineRule="auto"/>
        <w:jc w:val="center"/>
        <w:rPr>
          <w:rFonts w:ascii="Times New Roman" w:eastAsia="Times New Roman" w:hAnsi="Times New Roman"/>
          <w:color w:val="000000"/>
          <w:sz w:val="18"/>
          <w:szCs w:val="18"/>
        </w:rPr>
      </w:pPr>
      <w:r w:rsidRPr="00D0401F">
        <w:rPr>
          <w:rFonts w:ascii="Times" w:eastAsia="Times New Roman" w:hAnsi="Times" w:cs="Times"/>
          <w:b/>
          <w:bCs/>
          <w:color w:val="000000"/>
          <w:sz w:val="18"/>
          <w:szCs w:val="18"/>
        </w:rPr>
        <w:t>Estimate of Economic Impact</w:t>
      </w:r>
    </w:p>
    <w:p w14:paraId="018242D8"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b/>
          <w:bCs/>
          <w:color w:val="000000"/>
          <w:sz w:val="18"/>
          <w:szCs w:val="18"/>
        </w:rPr>
        <w:t>I. Summary of Economic Impact. </w:t>
      </w:r>
      <w:r w:rsidRPr="00D0401F">
        <w:rPr>
          <w:rFonts w:ascii="Times New Roman" w:eastAsia="Times New Roman" w:hAnsi="Times New Roman"/>
          <w:color w:val="000000"/>
          <w:sz w:val="18"/>
          <w:szCs w:val="18"/>
        </w:rPr>
        <w:t>As provided in the FY 2020 budget and required by the Heroin and Opioid Prevention Effort (HOPE) and Treatment Act of 2017, the proposed action implements a 3.5 percent rate increase for 1915(</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providers. The total impact for FY 2020 is $5,792.</w:t>
      </w:r>
    </w:p>
    <w:p w14:paraId="7D4B06FF" w14:textId="77777777" w:rsidR="00D0401F" w:rsidRPr="00D0401F" w:rsidRDefault="00D0401F" w:rsidP="00D0401F">
      <w:pPr>
        <w:spacing w:after="0" w:line="240" w:lineRule="auto"/>
        <w:jc w:val="both"/>
        <w:rPr>
          <w:rFonts w:ascii="Times New Roman" w:eastAsia="Times New Roman" w:hAnsi="Times New Roman"/>
          <w:color w:val="000000"/>
          <w:sz w:val="18"/>
          <w:szCs w:val="18"/>
        </w:rPr>
      </w:pPr>
      <w:r w:rsidRPr="00D0401F">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765"/>
        <w:gridCol w:w="2213"/>
      </w:tblGrid>
      <w:tr w:rsidR="00D0401F" w:rsidRPr="00D0401F" w14:paraId="648B9A13" w14:textId="77777777" w:rsidTr="00D0401F">
        <w:trPr>
          <w:tblCellSpacing w:w="15" w:type="dxa"/>
        </w:trPr>
        <w:tc>
          <w:tcPr>
            <w:tcW w:w="2300" w:type="pct"/>
            <w:tcMar>
              <w:top w:w="15" w:type="dxa"/>
              <w:left w:w="15" w:type="dxa"/>
              <w:bottom w:w="15" w:type="dxa"/>
              <w:right w:w="15" w:type="dxa"/>
            </w:tcMar>
            <w:vAlign w:val="bottom"/>
            <w:hideMark/>
          </w:tcPr>
          <w:p w14:paraId="42585D1F"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52F956A3"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427D8607"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 </w:t>
            </w:r>
          </w:p>
        </w:tc>
      </w:tr>
      <w:tr w:rsidR="00D0401F" w:rsidRPr="00D0401F" w14:paraId="2E84289F" w14:textId="77777777" w:rsidTr="00D0401F">
        <w:trPr>
          <w:tblCellSpacing w:w="15" w:type="dxa"/>
        </w:trPr>
        <w:tc>
          <w:tcPr>
            <w:tcW w:w="2300" w:type="pct"/>
            <w:tcMar>
              <w:top w:w="15" w:type="dxa"/>
              <w:left w:w="15" w:type="dxa"/>
              <w:bottom w:w="15" w:type="dxa"/>
              <w:right w:w="15" w:type="dxa"/>
            </w:tcMar>
            <w:vAlign w:val="bottom"/>
            <w:hideMark/>
          </w:tcPr>
          <w:p w14:paraId="5AA2BB71"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2FFDD783"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Expenditure</w:t>
            </w:r>
          </w:p>
          <w:p w14:paraId="384180ED"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43FBD0C0"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Magnitude</w:t>
            </w:r>
          </w:p>
        </w:tc>
      </w:tr>
      <w:tr w:rsidR="00D0401F" w:rsidRPr="00D0401F" w14:paraId="1EABFEB2" w14:textId="77777777" w:rsidTr="00D0401F">
        <w:trPr>
          <w:tblCellSpacing w:w="15" w:type="dxa"/>
        </w:trPr>
        <w:tc>
          <w:tcPr>
            <w:tcW w:w="2300" w:type="pct"/>
            <w:tcMar>
              <w:top w:w="15" w:type="dxa"/>
              <w:left w:w="15" w:type="dxa"/>
              <w:bottom w:w="15" w:type="dxa"/>
              <w:right w:w="15" w:type="dxa"/>
            </w:tcMar>
            <w:vAlign w:val="bottom"/>
            <w:hideMark/>
          </w:tcPr>
          <w:p w14:paraId="1F17318F"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57D4ED9A"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New Roman" w:eastAsia="Times New Roman" w:hAnsi="Times New Roman"/>
                <w:sz w:val="18"/>
                <w:szCs w:val="18"/>
              </w:rPr>
              <w:pict w14:anchorId="01B45998">
                <v:rect id="_x0000_i1025" style="width:468pt;height:1.5pt" o:hrstd="t" o:hrnoshade="t" o:hr="t" fillcolor="black" stroked="f"/>
              </w:pict>
            </w:r>
          </w:p>
        </w:tc>
      </w:tr>
      <w:tr w:rsidR="00D0401F" w:rsidRPr="00D0401F" w14:paraId="2B45DBF2" w14:textId="77777777" w:rsidTr="00D0401F">
        <w:trPr>
          <w:tblCellSpacing w:w="15" w:type="dxa"/>
        </w:trPr>
        <w:tc>
          <w:tcPr>
            <w:tcW w:w="2300" w:type="pct"/>
            <w:tcMar>
              <w:top w:w="15" w:type="dxa"/>
              <w:left w:w="15" w:type="dxa"/>
              <w:bottom w:w="15" w:type="dxa"/>
              <w:right w:w="15" w:type="dxa"/>
            </w:tcMar>
            <w:vAlign w:val="bottom"/>
            <w:hideMark/>
          </w:tcPr>
          <w:p w14:paraId="4756ACA9" w14:textId="77777777" w:rsidR="00D0401F" w:rsidRPr="00D0401F" w:rsidRDefault="00D0401F" w:rsidP="00D0401F">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632A997F" w14:textId="77777777" w:rsidR="00D0401F" w:rsidRPr="00D0401F" w:rsidRDefault="00D0401F" w:rsidP="00D0401F">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744F8FA0" w14:textId="77777777" w:rsidR="00D0401F" w:rsidRPr="00D0401F" w:rsidRDefault="00D0401F" w:rsidP="00D0401F">
            <w:pPr>
              <w:spacing w:after="0" w:line="240" w:lineRule="auto"/>
              <w:rPr>
                <w:rFonts w:ascii="Times New Roman" w:eastAsia="Times New Roman" w:hAnsi="Times New Roman"/>
                <w:sz w:val="20"/>
                <w:szCs w:val="20"/>
              </w:rPr>
            </w:pPr>
          </w:p>
        </w:tc>
      </w:tr>
      <w:tr w:rsidR="00D0401F" w:rsidRPr="00D0401F" w14:paraId="4CF0FEDF" w14:textId="77777777" w:rsidTr="00D0401F">
        <w:trPr>
          <w:tblCellSpacing w:w="15" w:type="dxa"/>
        </w:trPr>
        <w:tc>
          <w:tcPr>
            <w:tcW w:w="2300" w:type="pct"/>
            <w:tcMar>
              <w:top w:w="15" w:type="dxa"/>
              <w:left w:w="15" w:type="dxa"/>
              <w:bottom w:w="15" w:type="dxa"/>
              <w:right w:w="15" w:type="dxa"/>
            </w:tcMar>
            <w:vAlign w:val="bottom"/>
            <w:hideMark/>
          </w:tcPr>
          <w:p w14:paraId="32139F44"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35D1D111"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4D4E3917"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$5,792</w:t>
            </w:r>
          </w:p>
        </w:tc>
      </w:tr>
      <w:tr w:rsidR="00D0401F" w:rsidRPr="00D0401F" w14:paraId="0A575215" w14:textId="77777777" w:rsidTr="00D0401F">
        <w:trPr>
          <w:tblCellSpacing w:w="15" w:type="dxa"/>
        </w:trPr>
        <w:tc>
          <w:tcPr>
            <w:tcW w:w="2300" w:type="pct"/>
            <w:tcMar>
              <w:top w:w="15" w:type="dxa"/>
              <w:left w:w="15" w:type="dxa"/>
              <w:bottom w:w="15" w:type="dxa"/>
              <w:right w:w="15" w:type="dxa"/>
            </w:tcMar>
            <w:vAlign w:val="bottom"/>
            <w:hideMark/>
          </w:tcPr>
          <w:p w14:paraId="546E90D8"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30B79486"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DC99B4B" w14:textId="77777777" w:rsidR="00D0401F" w:rsidRPr="00D0401F" w:rsidRDefault="00D0401F" w:rsidP="00D0401F">
            <w:pPr>
              <w:spacing w:after="0" w:line="240" w:lineRule="auto"/>
              <w:rPr>
                <w:rFonts w:ascii="Times New Roman" w:eastAsia="Times New Roman" w:hAnsi="Times New Roman"/>
                <w:sz w:val="18"/>
                <w:szCs w:val="18"/>
              </w:rPr>
            </w:pPr>
          </w:p>
        </w:tc>
      </w:tr>
      <w:tr w:rsidR="00D0401F" w:rsidRPr="00D0401F" w14:paraId="2FC0E123" w14:textId="77777777" w:rsidTr="00D0401F">
        <w:trPr>
          <w:tblCellSpacing w:w="15" w:type="dxa"/>
        </w:trPr>
        <w:tc>
          <w:tcPr>
            <w:tcW w:w="2300" w:type="pct"/>
            <w:tcMar>
              <w:top w:w="15" w:type="dxa"/>
              <w:left w:w="15" w:type="dxa"/>
              <w:bottom w:w="15" w:type="dxa"/>
              <w:right w:w="15" w:type="dxa"/>
            </w:tcMar>
            <w:vAlign w:val="bottom"/>
            <w:hideMark/>
          </w:tcPr>
          <w:p w14:paraId="52F4AE31"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0FCB8158"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D2DC3E5" w14:textId="77777777" w:rsidR="00D0401F" w:rsidRPr="00D0401F" w:rsidRDefault="00D0401F" w:rsidP="00D0401F">
            <w:pPr>
              <w:spacing w:after="0" w:line="240" w:lineRule="auto"/>
              <w:rPr>
                <w:rFonts w:ascii="Times New Roman" w:eastAsia="Times New Roman" w:hAnsi="Times New Roman"/>
                <w:sz w:val="18"/>
                <w:szCs w:val="18"/>
              </w:rPr>
            </w:pPr>
          </w:p>
        </w:tc>
      </w:tr>
      <w:tr w:rsidR="00D0401F" w:rsidRPr="00D0401F" w14:paraId="64177727" w14:textId="77777777" w:rsidTr="00D0401F">
        <w:trPr>
          <w:tblCellSpacing w:w="15" w:type="dxa"/>
        </w:trPr>
        <w:tc>
          <w:tcPr>
            <w:tcW w:w="4900" w:type="pct"/>
            <w:gridSpan w:val="3"/>
            <w:tcMar>
              <w:top w:w="15" w:type="dxa"/>
              <w:left w:w="15" w:type="dxa"/>
              <w:bottom w:w="15" w:type="dxa"/>
              <w:right w:w="15" w:type="dxa"/>
            </w:tcMar>
            <w:vAlign w:val="bottom"/>
            <w:hideMark/>
          </w:tcPr>
          <w:p w14:paraId="1589D75B"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New Roman" w:eastAsia="Times New Roman" w:hAnsi="Times New Roman"/>
                <w:sz w:val="18"/>
                <w:szCs w:val="18"/>
              </w:rPr>
              <w:t> </w:t>
            </w:r>
          </w:p>
        </w:tc>
      </w:tr>
      <w:tr w:rsidR="00D0401F" w:rsidRPr="00D0401F" w14:paraId="04E5374D" w14:textId="77777777" w:rsidTr="00D0401F">
        <w:trPr>
          <w:tblCellSpacing w:w="15" w:type="dxa"/>
        </w:trPr>
        <w:tc>
          <w:tcPr>
            <w:tcW w:w="2300" w:type="pct"/>
            <w:tcMar>
              <w:top w:w="15" w:type="dxa"/>
              <w:left w:w="15" w:type="dxa"/>
              <w:bottom w:w="15" w:type="dxa"/>
              <w:right w:w="15" w:type="dxa"/>
            </w:tcMar>
            <w:vAlign w:val="bottom"/>
            <w:hideMark/>
          </w:tcPr>
          <w:p w14:paraId="7342FCBD"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6BE6DC3D"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Benefit (+)</w:t>
            </w:r>
            <w:r w:rsidRPr="00D0401F">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129BFA7D"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Magnitude</w:t>
            </w:r>
          </w:p>
        </w:tc>
      </w:tr>
      <w:tr w:rsidR="00D0401F" w:rsidRPr="00D0401F" w14:paraId="0249BE15" w14:textId="77777777" w:rsidTr="00D0401F">
        <w:trPr>
          <w:tblCellSpacing w:w="15" w:type="dxa"/>
        </w:trPr>
        <w:tc>
          <w:tcPr>
            <w:tcW w:w="2300" w:type="pct"/>
            <w:tcMar>
              <w:top w:w="15" w:type="dxa"/>
              <w:left w:w="15" w:type="dxa"/>
              <w:bottom w:w="15" w:type="dxa"/>
              <w:right w:w="15" w:type="dxa"/>
            </w:tcMar>
            <w:vAlign w:val="bottom"/>
            <w:hideMark/>
          </w:tcPr>
          <w:p w14:paraId="688726B0"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23E4241A"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New Roman" w:eastAsia="Times New Roman" w:hAnsi="Times New Roman"/>
                <w:sz w:val="18"/>
                <w:szCs w:val="18"/>
              </w:rPr>
              <w:pict w14:anchorId="7EDDC6D9">
                <v:rect id="_x0000_i1026" style="width:468pt;height:1.5pt" o:hrstd="t" o:hrnoshade="t" o:hr="t" fillcolor="black" stroked="f"/>
              </w:pict>
            </w:r>
          </w:p>
        </w:tc>
      </w:tr>
      <w:tr w:rsidR="00D0401F" w:rsidRPr="00D0401F" w14:paraId="47E08F2B" w14:textId="77777777" w:rsidTr="00D0401F">
        <w:trPr>
          <w:tblCellSpacing w:w="15" w:type="dxa"/>
        </w:trPr>
        <w:tc>
          <w:tcPr>
            <w:tcW w:w="2300" w:type="pct"/>
            <w:tcMar>
              <w:top w:w="15" w:type="dxa"/>
              <w:left w:w="15" w:type="dxa"/>
              <w:bottom w:w="15" w:type="dxa"/>
              <w:right w:w="15" w:type="dxa"/>
            </w:tcMar>
            <w:vAlign w:val="bottom"/>
            <w:hideMark/>
          </w:tcPr>
          <w:p w14:paraId="620DEDCA" w14:textId="77777777" w:rsidR="00D0401F" w:rsidRPr="00D0401F" w:rsidRDefault="00D0401F" w:rsidP="00D0401F">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4B684722" w14:textId="77777777" w:rsidR="00D0401F" w:rsidRPr="00D0401F" w:rsidRDefault="00D0401F" w:rsidP="00D0401F">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7A7DD1A5" w14:textId="77777777" w:rsidR="00D0401F" w:rsidRPr="00D0401F" w:rsidRDefault="00D0401F" w:rsidP="00D0401F">
            <w:pPr>
              <w:spacing w:after="0" w:line="240" w:lineRule="auto"/>
              <w:rPr>
                <w:rFonts w:ascii="Times New Roman" w:eastAsia="Times New Roman" w:hAnsi="Times New Roman"/>
                <w:sz w:val="20"/>
                <w:szCs w:val="20"/>
              </w:rPr>
            </w:pPr>
          </w:p>
        </w:tc>
      </w:tr>
      <w:tr w:rsidR="00D0401F" w:rsidRPr="00D0401F" w14:paraId="5B5BC107" w14:textId="77777777" w:rsidTr="00D0401F">
        <w:trPr>
          <w:tblCellSpacing w:w="15" w:type="dxa"/>
        </w:trPr>
        <w:tc>
          <w:tcPr>
            <w:tcW w:w="2300" w:type="pct"/>
            <w:tcMar>
              <w:top w:w="15" w:type="dxa"/>
              <w:left w:w="15" w:type="dxa"/>
              <w:bottom w:w="15" w:type="dxa"/>
              <w:right w:w="15" w:type="dxa"/>
            </w:tcMar>
            <w:vAlign w:val="bottom"/>
            <w:hideMark/>
          </w:tcPr>
          <w:p w14:paraId="0CE13193"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36379CC9"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0E869055"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$5,792</w:t>
            </w:r>
          </w:p>
        </w:tc>
      </w:tr>
      <w:tr w:rsidR="00D0401F" w:rsidRPr="00D0401F" w14:paraId="1D288864" w14:textId="77777777" w:rsidTr="00D0401F">
        <w:trPr>
          <w:tblCellSpacing w:w="15" w:type="dxa"/>
        </w:trPr>
        <w:tc>
          <w:tcPr>
            <w:tcW w:w="2300" w:type="pct"/>
            <w:tcMar>
              <w:top w:w="15" w:type="dxa"/>
              <w:left w:w="15" w:type="dxa"/>
              <w:bottom w:w="15" w:type="dxa"/>
              <w:right w:w="15" w:type="dxa"/>
            </w:tcMar>
            <w:vAlign w:val="bottom"/>
            <w:hideMark/>
          </w:tcPr>
          <w:p w14:paraId="6A091390"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79407C56"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39EEE734" w14:textId="77777777" w:rsidR="00D0401F" w:rsidRPr="00D0401F" w:rsidRDefault="00D0401F" w:rsidP="00D0401F">
            <w:pPr>
              <w:spacing w:after="0" w:line="240" w:lineRule="auto"/>
              <w:rPr>
                <w:rFonts w:ascii="Times New Roman" w:eastAsia="Times New Roman" w:hAnsi="Times New Roman"/>
                <w:sz w:val="18"/>
                <w:szCs w:val="18"/>
              </w:rPr>
            </w:pPr>
          </w:p>
        </w:tc>
      </w:tr>
      <w:tr w:rsidR="00D0401F" w:rsidRPr="00D0401F" w14:paraId="13937135" w14:textId="77777777" w:rsidTr="00D0401F">
        <w:trPr>
          <w:tblCellSpacing w:w="15" w:type="dxa"/>
        </w:trPr>
        <w:tc>
          <w:tcPr>
            <w:tcW w:w="2300" w:type="pct"/>
            <w:tcMar>
              <w:top w:w="15" w:type="dxa"/>
              <w:left w:w="15" w:type="dxa"/>
              <w:bottom w:w="15" w:type="dxa"/>
              <w:right w:w="15" w:type="dxa"/>
            </w:tcMar>
            <w:vAlign w:val="bottom"/>
            <w:hideMark/>
          </w:tcPr>
          <w:p w14:paraId="37051748" w14:textId="77777777" w:rsidR="00D0401F" w:rsidRPr="00D0401F" w:rsidRDefault="00D0401F" w:rsidP="00D0401F">
            <w:pPr>
              <w:spacing w:after="0" w:line="240" w:lineRule="auto"/>
              <w:ind w:firstLine="216"/>
              <w:rPr>
                <w:rFonts w:ascii="Times New Roman" w:eastAsia="Times New Roman" w:hAnsi="Times New Roman"/>
                <w:sz w:val="18"/>
                <w:szCs w:val="18"/>
              </w:rPr>
            </w:pPr>
            <w:r w:rsidRPr="00D0401F">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595AEC69" w14:textId="77777777" w:rsidR="00D0401F" w:rsidRPr="00D0401F" w:rsidRDefault="00D0401F" w:rsidP="00D0401F">
            <w:pPr>
              <w:spacing w:after="0" w:line="240" w:lineRule="auto"/>
              <w:rPr>
                <w:rFonts w:ascii="Times New Roman" w:eastAsia="Times New Roman" w:hAnsi="Times New Roman"/>
                <w:sz w:val="18"/>
                <w:szCs w:val="18"/>
              </w:rPr>
            </w:pPr>
            <w:r w:rsidRPr="00D0401F">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102C6E62" w14:textId="77777777" w:rsidR="00D0401F" w:rsidRPr="00D0401F" w:rsidRDefault="00D0401F" w:rsidP="00D0401F">
            <w:pPr>
              <w:spacing w:after="0" w:line="240" w:lineRule="auto"/>
              <w:rPr>
                <w:rFonts w:ascii="Times New Roman" w:eastAsia="Times New Roman" w:hAnsi="Times New Roman"/>
                <w:sz w:val="18"/>
                <w:szCs w:val="18"/>
              </w:rPr>
            </w:pPr>
          </w:p>
        </w:tc>
      </w:tr>
      <w:tr w:rsidR="00D0401F" w:rsidRPr="00D0401F" w14:paraId="0BC67260" w14:textId="77777777" w:rsidTr="00D0401F">
        <w:trPr>
          <w:tblCellSpacing w:w="15" w:type="dxa"/>
        </w:trPr>
        <w:tc>
          <w:tcPr>
            <w:tcW w:w="4900" w:type="pct"/>
            <w:gridSpan w:val="3"/>
            <w:tcMar>
              <w:top w:w="15" w:type="dxa"/>
              <w:left w:w="15" w:type="dxa"/>
              <w:bottom w:w="15" w:type="dxa"/>
              <w:right w:w="15" w:type="dxa"/>
            </w:tcMar>
            <w:vAlign w:val="bottom"/>
            <w:hideMark/>
          </w:tcPr>
          <w:p w14:paraId="1A6ABC4C" w14:textId="77777777" w:rsidR="00D0401F" w:rsidRPr="00D0401F" w:rsidRDefault="00D0401F" w:rsidP="00D0401F">
            <w:pPr>
              <w:spacing w:after="0" w:line="240" w:lineRule="auto"/>
              <w:ind w:firstLine="216"/>
              <w:jc w:val="both"/>
              <w:rPr>
                <w:rFonts w:ascii="Times New Roman" w:eastAsia="Times New Roman" w:hAnsi="Times New Roman"/>
                <w:sz w:val="18"/>
                <w:szCs w:val="18"/>
              </w:rPr>
            </w:pPr>
            <w:r w:rsidRPr="00D0401F">
              <w:rPr>
                <w:rFonts w:ascii="Times New Roman" w:eastAsia="Times New Roman" w:hAnsi="Times New Roman"/>
                <w:b/>
                <w:bCs/>
                <w:sz w:val="18"/>
                <w:szCs w:val="18"/>
              </w:rPr>
              <w:t>III. Assumptions.</w:t>
            </w:r>
            <w:r w:rsidRPr="00D0401F">
              <w:rPr>
                <w:rFonts w:ascii="Times New Roman" w:eastAsia="Times New Roman" w:hAnsi="Times New Roman"/>
                <w:sz w:val="18"/>
                <w:szCs w:val="18"/>
              </w:rPr>
              <w:t> (Identified by Impact Letter and Number from Section II.)</w:t>
            </w:r>
          </w:p>
        </w:tc>
      </w:tr>
      <w:tr w:rsidR="00D0401F" w:rsidRPr="00D0401F" w14:paraId="153B294A" w14:textId="77777777" w:rsidTr="00D0401F">
        <w:trPr>
          <w:tblCellSpacing w:w="15" w:type="dxa"/>
        </w:trPr>
        <w:tc>
          <w:tcPr>
            <w:tcW w:w="4900" w:type="pct"/>
            <w:gridSpan w:val="3"/>
            <w:tcMar>
              <w:top w:w="15" w:type="dxa"/>
              <w:left w:w="15" w:type="dxa"/>
              <w:bottom w:w="15" w:type="dxa"/>
              <w:right w:w="15" w:type="dxa"/>
            </w:tcMar>
            <w:vAlign w:val="bottom"/>
            <w:hideMark/>
          </w:tcPr>
          <w:p w14:paraId="571E7A48" w14:textId="77777777" w:rsidR="00D0401F" w:rsidRPr="00D0401F" w:rsidRDefault="00D0401F" w:rsidP="00D0401F">
            <w:pPr>
              <w:spacing w:after="0" w:line="240" w:lineRule="auto"/>
              <w:ind w:firstLine="216"/>
              <w:jc w:val="both"/>
              <w:rPr>
                <w:rFonts w:ascii="Times New Roman" w:eastAsia="Times New Roman" w:hAnsi="Times New Roman"/>
                <w:sz w:val="18"/>
                <w:szCs w:val="18"/>
              </w:rPr>
            </w:pPr>
            <w:r w:rsidRPr="00D0401F">
              <w:rPr>
                <w:rFonts w:ascii="Times New Roman" w:eastAsia="Times New Roman" w:hAnsi="Times New Roman"/>
                <w:sz w:val="18"/>
                <w:szCs w:val="18"/>
              </w:rPr>
              <w:t>A. (1) In FY 2020, the 1915(</w:t>
            </w:r>
            <w:proofErr w:type="spellStart"/>
            <w:r w:rsidRPr="00D0401F">
              <w:rPr>
                <w:rFonts w:ascii="Times New Roman" w:eastAsia="Times New Roman" w:hAnsi="Times New Roman"/>
                <w:sz w:val="18"/>
                <w:szCs w:val="18"/>
              </w:rPr>
              <w:t>i</w:t>
            </w:r>
            <w:proofErr w:type="spellEnd"/>
            <w:r w:rsidRPr="00D0401F">
              <w:rPr>
                <w:rFonts w:ascii="Times New Roman" w:eastAsia="Times New Roman" w:hAnsi="Times New Roman"/>
                <w:sz w:val="18"/>
                <w:szCs w:val="18"/>
              </w:rPr>
              <w:t xml:space="preserve">) </w:t>
            </w:r>
            <w:proofErr w:type="gramStart"/>
            <w:r w:rsidRPr="00D0401F">
              <w:rPr>
                <w:rFonts w:ascii="Times New Roman" w:eastAsia="Times New Roman" w:hAnsi="Times New Roman"/>
                <w:sz w:val="18"/>
                <w:szCs w:val="18"/>
              </w:rPr>
              <w:t>program</w:t>
            </w:r>
            <w:proofErr w:type="gramEnd"/>
            <w:r w:rsidRPr="00D0401F">
              <w:rPr>
                <w:rFonts w:ascii="Times New Roman" w:eastAsia="Times New Roman" w:hAnsi="Times New Roman"/>
                <w:sz w:val="18"/>
                <w:szCs w:val="18"/>
              </w:rPr>
              <w:t xml:space="preserve"> will serve 30 children. This amount assumes FY 2019 actual utilization (30 participants) will continue.</w:t>
            </w:r>
          </w:p>
          <w:p w14:paraId="4745F8D8" w14:textId="77777777" w:rsidR="00D0401F" w:rsidRPr="00D0401F" w:rsidRDefault="00D0401F" w:rsidP="00D0401F">
            <w:pPr>
              <w:spacing w:after="0" w:line="240" w:lineRule="auto"/>
              <w:ind w:firstLine="432"/>
              <w:jc w:val="both"/>
              <w:rPr>
                <w:rFonts w:ascii="Times New Roman" w:eastAsia="Times New Roman" w:hAnsi="Times New Roman"/>
                <w:sz w:val="18"/>
                <w:szCs w:val="18"/>
              </w:rPr>
            </w:pPr>
            <w:r w:rsidRPr="00D0401F">
              <w:rPr>
                <w:rFonts w:ascii="Times New Roman" w:eastAsia="Times New Roman" w:hAnsi="Times New Roman"/>
                <w:sz w:val="18"/>
                <w:szCs w:val="18"/>
              </w:rPr>
              <w:t>(2) Total expenditures for 1915(</w:t>
            </w:r>
            <w:proofErr w:type="spellStart"/>
            <w:r w:rsidRPr="00D0401F">
              <w:rPr>
                <w:rFonts w:ascii="Times New Roman" w:eastAsia="Times New Roman" w:hAnsi="Times New Roman"/>
                <w:sz w:val="18"/>
                <w:szCs w:val="18"/>
              </w:rPr>
              <w:t>i</w:t>
            </w:r>
            <w:proofErr w:type="spellEnd"/>
            <w:r w:rsidRPr="00D0401F">
              <w:rPr>
                <w:rFonts w:ascii="Times New Roman" w:eastAsia="Times New Roman" w:hAnsi="Times New Roman"/>
                <w:sz w:val="18"/>
                <w:szCs w:val="18"/>
              </w:rPr>
              <w:t>) services in FY 2019 are equal to per-person expenditures in FY 2018, plus a 3.5 percent rate increase, for 30 participants.</w:t>
            </w:r>
          </w:p>
          <w:p w14:paraId="62684464" w14:textId="77777777" w:rsidR="00D0401F" w:rsidRPr="00D0401F" w:rsidRDefault="00D0401F" w:rsidP="00D0401F">
            <w:pPr>
              <w:spacing w:after="0" w:line="240" w:lineRule="auto"/>
              <w:ind w:firstLine="432"/>
              <w:jc w:val="both"/>
              <w:rPr>
                <w:rFonts w:ascii="Times New Roman" w:eastAsia="Times New Roman" w:hAnsi="Times New Roman"/>
                <w:sz w:val="18"/>
                <w:szCs w:val="18"/>
              </w:rPr>
            </w:pPr>
            <w:r w:rsidRPr="00D0401F">
              <w:rPr>
                <w:rFonts w:ascii="Times New Roman" w:eastAsia="Times New Roman" w:hAnsi="Times New Roman"/>
                <w:sz w:val="18"/>
                <w:szCs w:val="18"/>
              </w:rPr>
              <w:t>(3) Total estimated expenditures for 1915(</w:t>
            </w:r>
            <w:proofErr w:type="spellStart"/>
            <w:r w:rsidRPr="00D0401F">
              <w:rPr>
                <w:rFonts w:ascii="Times New Roman" w:eastAsia="Times New Roman" w:hAnsi="Times New Roman"/>
                <w:sz w:val="18"/>
                <w:szCs w:val="18"/>
              </w:rPr>
              <w:t>i</w:t>
            </w:r>
            <w:proofErr w:type="spellEnd"/>
            <w:r w:rsidRPr="00D0401F">
              <w:rPr>
                <w:rFonts w:ascii="Times New Roman" w:eastAsia="Times New Roman" w:hAnsi="Times New Roman"/>
                <w:sz w:val="18"/>
                <w:szCs w:val="18"/>
              </w:rPr>
              <w:t>) services in FY 2020 are equal to per-person expenditures in FY 2019, plus a 3.5 percent rate increase, for 30 participants.</w:t>
            </w:r>
          </w:p>
          <w:p w14:paraId="5514ACEF" w14:textId="77777777" w:rsidR="00D0401F" w:rsidRPr="00D0401F" w:rsidRDefault="00D0401F" w:rsidP="00D0401F">
            <w:pPr>
              <w:spacing w:after="0" w:line="240" w:lineRule="auto"/>
              <w:ind w:firstLine="432"/>
              <w:jc w:val="both"/>
              <w:rPr>
                <w:rFonts w:ascii="Times New Roman" w:eastAsia="Times New Roman" w:hAnsi="Times New Roman"/>
                <w:sz w:val="18"/>
                <w:szCs w:val="18"/>
              </w:rPr>
            </w:pPr>
            <w:r w:rsidRPr="00D0401F">
              <w:rPr>
                <w:rFonts w:ascii="Times New Roman" w:eastAsia="Times New Roman" w:hAnsi="Times New Roman"/>
                <w:sz w:val="18"/>
                <w:szCs w:val="18"/>
              </w:rPr>
              <w:t>(4) The difference between the FY 2020 and FY 2019 reimbursement amounts equates to an expenditure increase of $5,792 in FY 2020. This amount is subject to a 61.49 percent federal match ($3,562 federal funds, $2,230 general funds).</w:t>
            </w:r>
          </w:p>
        </w:tc>
      </w:tr>
      <w:tr w:rsidR="00D0401F" w:rsidRPr="00D0401F" w14:paraId="6B47E485" w14:textId="77777777" w:rsidTr="00D0401F">
        <w:trPr>
          <w:tblCellSpacing w:w="15" w:type="dxa"/>
        </w:trPr>
        <w:tc>
          <w:tcPr>
            <w:tcW w:w="4900" w:type="pct"/>
            <w:gridSpan w:val="3"/>
            <w:tcMar>
              <w:top w:w="15" w:type="dxa"/>
              <w:left w:w="15" w:type="dxa"/>
              <w:bottom w:w="15" w:type="dxa"/>
              <w:right w:w="15" w:type="dxa"/>
            </w:tcMar>
            <w:vAlign w:val="bottom"/>
            <w:hideMark/>
          </w:tcPr>
          <w:p w14:paraId="19ABB4E8" w14:textId="77777777" w:rsidR="00D0401F" w:rsidRPr="00D0401F" w:rsidRDefault="00D0401F" w:rsidP="00D0401F">
            <w:pPr>
              <w:spacing w:after="0" w:line="240" w:lineRule="auto"/>
              <w:ind w:firstLine="216"/>
              <w:jc w:val="both"/>
              <w:rPr>
                <w:rFonts w:ascii="Times New Roman" w:eastAsia="Times New Roman" w:hAnsi="Times New Roman"/>
                <w:sz w:val="18"/>
                <w:szCs w:val="18"/>
              </w:rPr>
            </w:pPr>
            <w:r w:rsidRPr="00D0401F">
              <w:rPr>
                <w:rFonts w:ascii="Times New Roman" w:eastAsia="Times New Roman" w:hAnsi="Times New Roman"/>
                <w:sz w:val="18"/>
                <w:szCs w:val="18"/>
              </w:rPr>
              <w:t>D. See A above.</w:t>
            </w:r>
          </w:p>
        </w:tc>
      </w:tr>
    </w:tbl>
    <w:p w14:paraId="4016C405"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lastRenderedPageBreak/>
        <w:t>Economic Impact on Small Businesses</w:t>
      </w:r>
    </w:p>
    <w:p w14:paraId="446AB77A"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The proposed action has a meaningful economic impact on small business. An analysis of this economic impact follows.</w:t>
      </w:r>
    </w:p>
    <w:p w14:paraId="4D0D9DFC"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This proposal meaningfully impacts 1915(</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providers by providing a 3.5 percent reimbursement rate increase.</w:t>
      </w:r>
    </w:p>
    <w:p w14:paraId="1E729E25"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Impact on Individuals with Disabilities</w:t>
      </w:r>
    </w:p>
    <w:p w14:paraId="2E29C3DD"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The proposed action has no impact on individuals with disabilities.</w:t>
      </w:r>
    </w:p>
    <w:p w14:paraId="134BC7A2" w14:textId="77777777" w:rsidR="00D0401F" w:rsidRPr="00D0401F" w:rsidRDefault="00D0401F" w:rsidP="00D0401F">
      <w:pPr>
        <w:spacing w:before="120" w:after="0" w:line="240" w:lineRule="auto"/>
        <w:jc w:val="center"/>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Opportunity for Public Comment</w:t>
      </w:r>
    </w:p>
    <w:p w14:paraId="5D365D3A"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February 3, 2020. A public hearing has not been scheduled.</w:t>
      </w:r>
    </w:p>
    <w:p w14:paraId="09A36FF0" w14:textId="77777777" w:rsidR="00D0401F" w:rsidRPr="00D0401F" w:rsidRDefault="00D0401F" w:rsidP="00D0401F">
      <w:pPr>
        <w:spacing w:before="140" w:after="0" w:line="240" w:lineRule="auto"/>
        <w:ind w:left="533" w:hanging="533"/>
        <w:jc w:val="both"/>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 xml:space="preserve">.09 </w:t>
      </w:r>
      <w:proofErr w:type="gramStart"/>
      <w:r w:rsidRPr="00D0401F">
        <w:rPr>
          <w:rFonts w:ascii="Times New Roman" w:eastAsia="Times New Roman" w:hAnsi="Times New Roman"/>
          <w:b/>
          <w:bCs/>
          <w:color w:val="000000"/>
          <w:sz w:val="18"/>
          <w:szCs w:val="18"/>
        </w:rPr>
        <w:t>Covered  Services</w:t>
      </w:r>
      <w:proofErr w:type="gramEnd"/>
      <w:r w:rsidRPr="00D0401F">
        <w:rPr>
          <w:rFonts w:ascii="Times New Roman" w:eastAsia="Times New Roman" w:hAnsi="Times New Roman"/>
          <w:b/>
          <w:bCs/>
          <w:color w:val="000000"/>
          <w:sz w:val="18"/>
          <w:szCs w:val="18"/>
        </w:rPr>
        <w:t>— Family Peer Support Services.</w:t>
      </w:r>
    </w:p>
    <w:p w14:paraId="5E09F2F2"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Family peer support services:</w:t>
      </w:r>
    </w:p>
    <w:p w14:paraId="3EBA26EC"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A.—E. (text unchanged)</w:t>
      </w:r>
    </w:p>
    <w:p w14:paraId="067412FD"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F. Effective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July 1, 2017</w:t>
      </w:r>
      <w:r w:rsidRPr="00D0401F">
        <w:rPr>
          <w:rFonts w:ascii="Times New Roman" w:eastAsia="Times New Roman" w:hAnsi="Times New Roman"/>
          <w:b/>
          <w:bCs/>
          <w:color w:val="000000"/>
          <w:sz w:val="18"/>
          <w:szCs w:val="18"/>
        </w:rPr>
        <w:t>] </w:t>
      </w:r>
      <w:r w:rsidRPr="00D0401F">
        <w:rPr>
          <w:rFonts w:ascii="Times New Roman" w:eastAsia="Times New Roman" w:hAnsi="Times New Roman"/>
          <w:i/>
          <w:iCs/>
          <w:color w:val="000000"/>
          <w:sz w:val="18"/>
          <w:szCs w:val="18"/>
        </w:rPr>
        <w:t>July 1, 2019</w:t>
      </w:r>
      <w:r w:rsidRPr="00D0401F">
        <w:rPr>
          <w:rFonts w:ascii="Times New Roman" w:eastAsia="Times New Roman" w:hAnsi="Times New Roman"/>
          <w:color w:val="000000"/>
          <w:sz w:val="18"/>
          <w:szCs w:val="18"/>
        </w:rPr>
        <w:t>,</w:t>
      </w:r>
      <w:r w:rsidRPr="00D0401F">
        <w:rPr>
          <w:rFonts w:ascii="Times New Roman" w:eastAsia="Times New Roman" w:hAnsi="Times New Roman"/>
          <w:i/>
          <w:iCs/>
          <w:color w:val="000000"/>
          <w:sz w:val="18"/>
          <w:szCs w:val="18"/>
        </w:rPr>
        <w:t> </w:t>
      </w:r>
      <w:r w:rsidRPr="00D0401F">
        <w:rPr>
          <w:rFonts w:ascii="Times New Roman" w:eastAsia="Times New Roman" w:hAnsi="Times New Roman"/>
          <w:color w:val="000000"/>
          <w:sz w:val="18"/>
          <w:szCs w:val="18"/>
        </w:rPr>
        <w:t>are reimbursed at the following rates:</w:t>
      </w:r>
    </w:p>
    <w:p w14:paraId="2E0932ED"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(1)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$16.62</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$17.80 </w:t>
      </w:r>
      <w:r w:rsidRPr="00D0401F">
        <w:rPr>
          <w:rFonts w:ascii="Times New Roman" w:eastAsia="Times New Roman" w:hAnsi="Times New Roman"/>
          <w:color w:val="000000"/>
          <w:sz w:val="18"/>
          <w:szCs w:val="18"/>
        </w:rPr>
        <w:t xml:space="preserve">per </w:t>
      </w:r>
      <w:proofErr w:type="gramStart"/>
      <w:r w:rsidRPr="00D0401F">
        <w:rPr>
          <w:rFonts w:ascii="Times New Roman" w:eastAsia="Times New Roman" w:hAnsi="Times New Roman"/>
          <w:color w:val="000000"/>
          <w:sz w:val="18"/>
          <w:szCs w:val="18"/>
        </w:rPr>
        <w:t>15 minute</w:t>
      </w:r>
      <w:proofErr w:type="gramEnd"/>
      <w:r w:rsidRPr="00D0401F">
        <w:rPr>
          <w:rFonts w:ascii="Times New Roman" w:eastAsia="Times New Roman" w:hAnsi="Times New Roman"/>
          <w:color w:val="000000"/>
          <w:sz w:val="18"/>
          <w:szCs w:val="18"/>
        </w:rPr>
        <w:t xml:space="preserve"> unit for face-to-face services; or</w:t>
      </w:r>
    </w:p>
    <w:p w14:paraId="31F37EB9"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(2)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$8.30</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$8.89 </w:t>
      </w:r>
      <w:r w:rsidRPr="00D0401F">
        <w:rPr>
          <w:rFonts w:ascii="Times New Roman" w:eastAsia="Times New Roman" w:hAnsi="Times New Roman"/>
          <w:color w:val="000000"/>
          <w:sz w:val="18"/>
          <w:szCs w:val="18"/>
        </w:rPr>
        <w:t xml:space="preserve">per </w:t>
      </w:r>
      <w:proofErr w:type="gramStart"/>
      <w:r w:rsidRPr="00D0401F">
        <w:rPr>
          <w:rFonts w:ascii="Times New Roman" w:eastAsia="Times New Roman" w:hAnsi="Times New Roman"/>
          <w:color w:val="000000"/>
          <w:sz w:val="18"/>
          <w:szCs w:val="18"/>
        </w:rPr>
        <w:t>15 minute</w:t>
      </w:r>
      <w:proofErr w:type="gramEnd"/>
      <w:r w:rsidRPr="00D0401F">
        <w:rPr>
          <w:rFonts w:ascii="Times New Roman" w:eastAsia="Times New Roman" w:hAnsi="Times New Roman"/>
          <w:color w:val="000000"/>
          <w:sz w:val="18"/>
          <w:szCs w:val="18"/>
        </w:rPr>
        <w:t xml:space="preserve"> unit for telephonic or other non-face-to-face activities.</w:t>
      </w:r>
    </w:p>
    <w:p w14:paraId="655143C4" w14:textId="77777777" w:rsidR="00D0401F" w:rsidRPr="00D0401F" w:rsidRDefault="00D0401F" w:rsidP="00D0401F">
      <w:pPr>
        <w:spacing w:before="140" w:after="0" w:line="240" w:lineRule="auto"/>
        <w:ind w:left="533" w:hanging="533"/>
        <w:jc w:val="both"/>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.10 Covered Services— Respite Services.</w:t>
      </w:r>
    </w:p>
    <w:p w14:paraId="79A197C2"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Respite services:</w:t>
      </w:r>
    </w:p>
    <w:p w14:paraId="4747DA59"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A.—D. (text unchanged)</w:t>
      </w:r>
    </w:p>
    <w:p w14:paraId="2A905F53"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E. Effective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July 1, 2017</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July 1, 2019</w:t>
      </w:r>
      <w:r w:rsidRPr="00D0401F">
        <w:rPr>
          <w:rFonts w:ascii="Times New Roman" w:eastAsia="Times New Roman" w:hAnsi="Times New Roman"/>
          <w:color w:val="000000"/>
          <w:sz w:val="18"/>
          <w:szCs w:val="18"/>
        </w:rPr>
        <w:t>, are reimbursed at the following rates:</w:t>
      </w:r>
    </w:p>
    <w:p w14:paraId="7FA5C891"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(1)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$26.18</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$28.04</w:t>
      </w:r>
      <w:r w:rsidRPr="00D0401F">
        <w:rPr>
          <w:rFonts w:ascii="Times New Roman" w:eastAsia="Times New Roman" w:hAnsi="Times New Roman"/>
          <w:color w:val="000000"/>
          <w:sz w:val="18"/>
          <w:szCs w:val="18"/>
        </w:rPr>
        <w:t> per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one hour</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1-hour </w:t>
      </w:r>
      <w:r w:rsidRPr="00D0401F">
        <w:rPr>
          <w:rFonts w:ascii="Times New Roman" w:eastAsia="Times New Roman" w:hAnsi="Times New Roman"/>
          <w:color w:val="000000"/>
          <w:sz w:val="18"/>
          <w:szCs w:val="18"/>
        </w:rPr>
        <w:t>unit of service for community-based respite services; or</w:t>
      </w:r>
    </w:p>
    <w:p w14:paraId="160C6594"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(2)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$207.50</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$222.28</w:t>
      </w:r>
      <w:r w:rsidRPr="00D0401F">
        <w:rPr>
          <w:rFonts w:ascii="Times New Roman" w:eastAsia="Times New Roman" w:hAnsi="Times New Roman"/>
          <w:color w:val="000000"/>
          <w:sz w:val="18"/>
          <w:szCs w:val="18"/>
        </w:rPr>
        <w:t> per unit of out-of-home respite care.</w:t>
      </w:r>
    </w:p>
    <w:p w14:paraId="74A19ED4" w14:textId="77777777" w:rsidR="00D0401F" w:rsidRPr="00D0401F" w:rsidRDefault="00D0401F" w:rsidP="00D0401F">
      <w:pPr>
        <w:spacing w:before="140" w:after="0" w:line="240" w:lineRule="auto"/>
        <w:ind w:left="533" w:hanging="533"/>
        <w:jc w:val="both"/>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.11 Covered Services — Expressive and Experiential Behavioral Services.</w:t>
      </w:r>
    </w:p>
    <w:p w14:paraId="77571077"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A.—B. (text unchanged)</w:t>
      </w:r>
    </w:p>
    <w:p w14:paraId="621FA355"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C. Reimbursement. Effective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July 1, 2017</w:t>
      </w:r>
      <w:r w:rsidRPr="00D0401F">
        <w:rPr>
          <w:rFonts w:ascii="Times New Roman" w:eastAsia="Times New Roman" w:hAnsi="Times New Roman"/>
          <w:b/>
          <w:bCs/>
          <w:color w:val="000000"/>
          <w:sz w:val="18"/>
          <w:szCs w:val="18"/>
        </w:rPr>
        <w:t>] </w:t>
      </w:r>
      <w:r w:rsidRPr="00D0401F">
        <w:rPr>
          <w:rFonts w:ascii="Times New Roman" w:eastAsia="Times New Roman" w:hAnsi="Times New Roman"/>
          <w:i/>
          <w:iCs/>
          <w:color w:val="000000"/>
          <w:sz w:val="18"/>
          <w:szCs w:val="18"/>
        </w:rPr>
        <w:t>July 1, 2019</w:t>
      </w:r>
      <w:r w:rsidRPr="00D0401F">
        <w:rPr>
          <w:rFonts w:ascii="Times New Roman" w:eastAsia="Times New Roman" w:hAnsi="Times New Roman"/>
          <w:color w:val="000000"/>
          <w:sz w:val="18"/>
          <w:szCs w:val="18"/>
        </w:rPr>
        <w:t>, reimbursement for services described in this regulation shall be as follows:</w:t>
      </w:r>
    </w:p>
    <w:p w14:paraId="72C9E8B0"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(1) For individual therapy provided by a:</w:t>
      </w:r>
    </w:p>
    <w:p w14:paraId="46F0AEF5" w14:textId="77777777" w:rsidR="00D0401F" w:rsidRPr="00D0401F" w:rsidRDefault="00D0401F" w:rsidP="00D0401F">
      <w:pPr>
        <w:spacing w:after="0" w:line="240" w:lineRule="auto"/>
        <w:ind w:firstLine="648"/>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 Licensed mental health professional at a rate of:</w:t>
      </w:r>
    </w:p>
    <w:p w14:paraId="1A74D322"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$71.17</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$76.24 </w:t>
      </w:r>
      <w:r w:rsidRPr="00D0401F">
        <w:rPr>
          <w:rFonts w:ascii="Times New Roman" w:eastAsia="Times New Roman" w:hAnsi="Times New Roman"/>
          <w:color w:val="000000"/>
          <w:sz w:val="18"/>
          <w:szCs w:val="18"/>
        </w:rPr>
        <w:t>per 45—</w:t>
      </w:r>
      <w:proofErr w:type="gramStart"/>
      <w:r w:rsidRPr="00D0401F">
        <w:rPr>
          <w:rFonts w:ascii="Times New Roman" w:eastAsia="Times New Roman" w:hAnsi="Times New Roman"/>
          <w:color w:val="000000"/>
          <w:sz w:val="18"/>
          <w:szCs w:val="18"/>
        </w:rPr>
        <w:t>50 minute</w:t>
      </w:r>
      <w:proofErr w:type="gramEnd"/>
      <w:r w:rsidRPr="00D0401F">
        <w:rPr>
          <w:rFonts w:ascii="Times New Roman" w:eastAsia="Times New Roman" w:hAnsi="Times New Roman"/>
          <w:color w:val="000000"/>
          <w:sz w:val="18"/>
          <w:szCs w:val="18"/>
        </w:rPr>
        <w:t xml:space="preserve"> session; or</w:t>
      </w:r>
    </w:p>
    <w:p w14:paraId="0ED488EF"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(ii)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$93.24</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$99.88 </w:t>
      </w:r>
      <w:r w:rsidRPr="00D0401F">
        <w:rPr>
          <w:rFonts w:ascii="Times New Roman" w:eastAsia="Times New Roman" w:hAnsi="Times New Roman"/>
          <w:color w:val="000000"/>
          <w:sz w:val="18"/>
          <w:szCs w:val="18"/>
        </w:rPr>
        <w:t>per 75—</w:t>
      </w:r>
      <w:proofErr w:type="gramStart"/>
      <w:r w:rsidRPr="00D0401F">
        <w:rPr>
          <w:rFonts w:ascii="Times New Roman" w:eastAsia="Times New Roman" w:hAnsi="Times New Roman"/>
          <w:color w:val="000000"/>
          <w:sz w:val="18"/>
          <w:szCs w:val="18"/>
        </w:rPr>
        <w:t>80 minute</w:t>
      </w:r>
      <w:proofErr w:type="gramEnd"/>
      <w:r w:rsidRPr="00D0401F">
        <w:rPr>
          <w:rFonts w:ascii="Times New Roman" w:eastAsia="Times New Roman" w:hAnsi="Times New Roman"/>
          <w:color w:val="000000"/>
          <w:sz w:val="18"/>
          <w:szCs w:val="18"/>
        </w:rPr>
        <w:t xml:space="preserve"> session;</w:t>
      </w:r>
    </w:p>
    <w:p w14:paraId="0A95FA8A" w14:textId="77777777" w:rsidR="00D0401F" w:rsidRPr="00D0401F" w:rsidRDefault="00D0401F" w:rsidP="00D0401F">
      <w:pPr>
        <w:spacing w:after="0" w:line="240" w:lineRule="auto"/>
        <w:ind w:firstLine="648"/>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(b) Non-licensed mental health professional at a rate of:</w:t>
      </w:r>
    </w:p>
    <w:p w14:paraId="36B93F13"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$64.70</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$69.31 </w:t>
      </w:r>
      <w:r w:rsidRPr="00D0401F">
        <w:rPr>
          <w:rFonts w:ascii="Times New Roman" w:eastAsia="Times New Roman" w:hAnsi="Times New Roman"/>
          <w:color w:val="000000"/>
          <w:sz w:val="18"/>
          <w:szCs w:val="18"/>
        </w:rPr>
        <w:t>per 45-minute session; or</w:t>
      </w:r>
    </w:p>
    <w:p w14:paraId="7BB5858E"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(ii)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$84.12</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$90.11 </w:t>
      </w:r>
      <w:r w:rsidRPr="00D0401F">
        <w:rPr>
          <w:rFonts w:ascii="Times New Roman" w:eastAsia="Times New Roman" w:hAnsi="Times New Roman"/>
          <w:color w:val="000000"/>
          <w:sz w:val="18"/>
          <w:szCs w:val="18"/>
        </w:rPr>
        <w:t>per 75—</w:t>
      </w:r>
      <w:proofErr w:type="gramStart"/>
      <w:r w:rsidRPr="00D0401F">
        <w:rPr>
          <w:rFonts w:ascii="Times New Roman" w:eastAsia="Times New Roman" w:hAnsi="Times New Roman"/>
          <w:color w:val="000000"/>
          <w:sz w:val="18"/>
          <w:szCs w:val="18"/>
        </w:rPr>
        <w:t>80 minute</w:t>
      </w:r>
      <w:proofErr w:type="gramEnd"/>
      <w:r w:rsidRPr="00D0401F">
        <w:rPr>
          <w:rFonts w:ascii="Times New Roman" w:eastAsia="Times New Roman" w:hAnsi="Times New Roman"/>
          <w:color w:val="000000"/>
          <w:sz w:val="18"/>
          <w:szCs w:val="18"/>
        </w:rPr>
        <w:t xml:space="preserve"> session; and</w:t>
      </w:r>
    </w:p>
    <w:p w14:paraId="7DD187A0"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(2) For group therapy provided by a:</w:t>
      </w:r>
    </w:p>
    <w:p w14:paraId="6A4D0CD1" w14:textId="77777777" w:rsidR="00D0401F" w:rsidRPr="00D0401F" w:rsidRDefault="00D0401F" w:rsidP="00D0401F">
      <w:pPr>
        <w:spacing w:after="0" w:line="240" w:lineRule="auto"/>
        <w:ind w:firstLine="648"/>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 Licensed mental health professional at a rate of:</w:t>
      </w:r>
    </w:p>
    <w:p w14:paraId="28F1AC55"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$28.30</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$30.31 </w:t>
      </w:r>
      <w:r w:rsidRPr="00D0401F">
        <w:rPr>
          <w:rFonts w:ascii="Times New Roman" w:eastAsia="Times New Roman" w:hAnsi="Times New Roman"/>
          <w:color w:val="000000"/>
          <w:sz w:val="18"/>
          <w:szCs w:val="18"/>
        </w:rPr>
        <w:t>per 45—</w:t>
      </w:r>
      <w:proofErr w:type="gramStart"/>
      <w:r w:rsidRPr="00D0401F">
        <w:rPr>
          <w:rFonts w:ascii="Times New Roman" w:eastAsia="Times New Roman" w:hAnsi="Times New Roman"/>
          <w:color w:val="000000"/>
          <w:sz w:val="18"/>
          <w:szCs w:val="18"/>
        </w:rPr>
        <w:t>60 minute</w:t>
      </w:r>
      <w:proofErr w:type="gramEnd"/>
      <w:r w:rsidRPr="00D0401F">
        <w:rPr>
          <w:rFonts w:ascii="Times New Roman" w:eastAsia="Times New Roman" w:hAnsi="Times New Roman"/>
          <w:color w:val="000000"/>
          <w:sz w:val="18"/>
          <w:szCs w:val="18"/>
        </w:rPr>
        <w:t xml:space="preserve"> session; or</w:t>
      </w:r>
    </w:p>
    <w:p w14:paraId="5A6CFCC3"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(ii)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$36.79</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$39.41 </w:t>
      </w:r>
      <w:r w:rsidRPr="00D0401F">
        <w:rPr>
          <w:rFonts w:ascii="Times New Roman" w:eastAsia="Times New Roman" w:hAnsi="Times New Roman"/>
          <w:color w:val="000000"/>
          <w:sz w:val="18"/>
          <w:szCs w:val="18"/>
        </w:rPr>
        <w:t xml:space="preserve">per prolonged (75—90 minute) </w:t>
      </w:r>
      <w:proofErr w:type="gramStart"/>
      <w:r w:rsidRPr="00D0401F">
        <w:rPr>
          <w:rFonts w:ascii="Times New Roman" w:eastAsia="Times New Roman" w:hAnsi="Times New Roman"/>
          <w:color w:val="000000"/>
          <w:sz w:val="18"/>
          <w:szCs w:val="18"/>
        </w:rPr>
        <w:t>session;</w:t>
      </w:r>
      <w:proofErr w:type="gramEnd"/>
    </w:p>
    <w:p w14:paraId="2229B469" w14:textId="77777777" w:rsidR="00D0401F" w:rsidRPr="00D0401F" w:rsidRDefault="00D0401F" w:rsidP="00D0401F">
      <w:pPr>
        <w:spacing w:after="0" w:line="240" w:lineRule="auto"/>
        <w:ind w:firstLine="648"/>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(b) Non-licensed mental health professional at a rate of:</w:t>
      </w:r>
    </w:p>
    <w:p w14:paraId="34FAE561"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w:t>
      </w:r>
      <w:proofErr w:type="spellStart"/>
      <w:r w:rsidRPr="00D0401F">
        <w:rPr>
          <w:rFonts w:ascii="Times New Roman" w:eastAsia="Times New Roman" w:hAnsi="Times New Roman"/>
          <w:color w:val="000000"/>
          <w:sz w:val="18"/>
          <w:szCs w:val="18"/>
        </w:rPr>
        <w:t>i</w:t>
      </w:r>
      <w:proofErr w:type="spellEnd"/>
      <w:r w:rsidRPr="00D0401F">
        <w:rPr>
          <w:rFonts w:ascii="Times New Roman" w:eastAsia="Times New Roman" w:hAnsi="Times New Roman"/>
          <w:color w:val="000000"/>
          <w:sz w:val="18"/>
          <w:szCs w:val="18"/>
        </w:rPr>
        <w:t>)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$25.14</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$26.93 </w:t>
      </w:r>
      <w:r w:rsidRPr="00D0401F">
        <w:rPr>
          <w:rFonts w:ascii="Times New Roman" w:eastAsia="Times New Roman" w:hAnsi="Times New Roman"/>
          <w:color w:val="000000"/>
          <w:sz w:val="18"/>
          <w:szCs w:val="18"/>
        </w:rPr>
        <w:t>per 45—</w:t>
      </w:r>
      <w:proofErr w:type="gramStart"/>
      <w:r w:rsidRPr="00D0401F">
        <w:rPr>
          <w:rFonts w:ascii="Times New Roman" w:eastAsia="Times New Roman" w:hAnsi="Times New Roman"/>
          <w:color w:val="000000"/>
          <w:sz w:val="18"/>
          <w:szCs w:val="18"/>
        </w:rPr>
        <w:t>60 minute</w:t>
      </w:r>
      <w:proofErr w:type="gramEnd"/>
      <w:r w:rsidRPr="00D0401F">
        <w:rPr>
          <w:rFonts w:ascii="Times New Roman" w:eastAsia="Times New Roman" w:hAnsi="Times New Roman"/>
          <w:color w:val="000000"/>
          <w:sz w:val="18"/>
          <w:szCs w:val="18"/>
        </w:rPr>
        <w:t xml:space="preserve"> session; or</w:t>
      </w:r>
    </w:p>
    <w:p w14:paraId="183E8DC9" w14:textId="77777777" w:rsidR="00D0401F" w:rsidRPr="00D0401F" w:rsidRDefault="00D0401F" w:rsidP="00D0401F">
      <w:pPr>
        <w:spacing w:after="0" w:line="240" w:lineRule="auto"/>
        <w:ind w:firstLine="864"/>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(ii)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$32.68</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$35.01 </w:t>
      </w:r>
      <w:r w:rsidRPr="00D0401F">
        <w:rPr>
          <w:rFonts w:ascii="Times New Roman" w:eastAsia="Times New Roman" w:hAnsi="Times New Roman"/>
          <w:color w:val="000000"/>
          <w:sz w:val="18"/>
          <w:szCs w:val="18"/>
        </w:rPr>
        <w:t>per prolonged (75—90 minute) session.</w:t>
      </w:r>
    </w:p>
    <w:p w14:paraId="32D21FCD" w14:textId="77777777" w:rsidR="00D0401F" w:rsidRPr="00D0401F" w:rsidRDefault="00D0401F" w:rsidP="00D0401F">
      <w:pPr>
        <w:spacing w:before="140" w:after="0" w:line="240" w:lineRule="auto"/>
        <w:ind w:left="533" w:hanging="533"/>
        <w:jc w:val="both"/>
        <w:rPr>
          <w:rFonts w:ascii="Times New Roman" w:eastAsia="Times New Roman" w:hAnsi="Times New Roman"/>
          <w:b/>
          <w:bCs/>
          <w:color w:val="000000"/>
          <w:sz w:val="18"/>
          <w:szCs w:val="18"/>
        </w:rPr>
      </w:pPr>
      <w:r w:rsidRPr="00D0401F">
        <w:rPr>
          <w:rFonts w:ascii="Times New Roman" w:eastAsia="Times New Roman" w:hAnsi="Times New Roman"/>
          <w:b/>
          <w:bCs/>
          <w:color w:val="000000"/>
          <w:sz w:val="18"/>
          <w:szCs w:val="18"/>
        </w:rPr>
        <w:t>.12 Covered Services —Intensive In-Home Services.</w:t>
      </w:r>
    </w:p>
    <w:p w14:paraId="421AD5C3"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A.—E. (text unchanged)</w:t>
      </w:r>
    </w:p>
    <w:p w14:paraId="1A876EF6" w14:textId="77777777" w:rsidR="00D0401F" w:rsidRPr="00D0401F" w:rsidRDefault="00D0401F" w:rsidP="00D0401F">
      <w:pPr>
        <w:spacing w:after="0" w:line="240" w:lineRule="auto"/>
        <w:ind w:firstLine="216"/>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F. Effective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July 1, 2017</w:t>
      </w:r>
      <w:r w:rsidRPr="00D0401F">
        <w:rPr>
          <w:rFonts w:ascii="Times New Roman" w:eastAsia="Times New Roman" w:hAnsi="Times New Roman"/>
          <w:b/>
          <w:bCs/>
          <w:color w:val="000000"/>
          <w:sz w:val="18"/>
          <w:szCs w:val="18"/>
        </w:rPr>
        <w:t>] </w:t>
      </w:r>
      <w:r w:rsidRPr="00D0401F">
        <w:rPr>
          <w:rFonts w:ascii="Times New Roman" w:eastAsia="Times New Roman" w:hAnsi="Times New Roman"/>
          <w:i/>
          <w:iCs/>
          <w:color w:val="000000"/>
          <w:sz w:val="18"/>
          <w:szCs w:val="18"/>
        </w:rPr>
        <w:t>July 1, 2019</w:t>
      </w:r>
      <w:r w:rsidRPr="00D0401F">
        <w:rPr>
          <w:rFonts w:ascii="Times New Roman" w:eastAsia="Times New Roman" w:hAnsi="Times New Roman"/>
          <w:color w:val="000000"/>
          <w:sz w:val="18"/>
          <w:szCs w:val="18"/>
        </w:rPr>
        <w:t>,</w:t>
      </w:r>
      <w:r w:rsidRPr="00D0401F">
        <w:rPr>
          <w:rFonts w:ascii="Times New Roman" w:eastAsia="Times New Roman" w:hAnsi="Times New Roman"/>
          <w:i/>
          <w:iCs/>
          <w:color w:val="000000"/>
          <w:sz w:val="18"/>
          <w:szCs w:val="18"/>
        </w:rPr>
        <w:t> </w:t>
      </w:r>
      <w:r w:rsidRPr="00D0401F">
        <w:rPr>
          <w:rFonts w:ascii="Times New Roman" w:eastAsia="Times New Roman" w:hAnsi="Times New Roman"/>
          <w:color w:val="000000"/>
          <w:sz w:val="18"/>
          <w:szCs w:val="18"/>
        </w:rPr>
        <w:t>reimbursement for IIHS services shall be provided at the rate of:</w:t>
      </w:r>
    </w:p>
    <w:p w14:paraId="58B89407"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(1)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$258.96</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$277.40 </w:t>
      </w:r>
      <w:r w:rsidRPr="00D0401F">
        <w:rPr>
          <w:rFonts w:ascii="Times New Roman" w:eastAsia="Times New Roman" w:hAnsi="Times New Roman"/>
          <w:color w:val="000000"/>
          <w:sz w:val="18"/>
          <w:szCs w:val="18"/>
        </w:rPr>
        <w:t>per week of service for EBP-IIHS providers; or</w:t>
      </w:r>
    </w:p>
    <w:p w14:paraId="3C13C761" w14:textId="77777777" w:rsidR="00D0401F" w:rsidRPr="00D0401F" w:rsidRDefault="00D0401F" w:rsidP="00D0401F">
      <w:pPr>
        <w:spacing w:after="0" w:line="240" w:lineRule="auto"/>
        <w:ind w:firstLine="432"/>
        <w:jc w:val="both"/>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(2) </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$205.45</w:t>
      </w:r>
      <w:r w:rsidRPr="00D0401F">
        <w:rPr>
          <w:rFonts w:ascii="Times New Roman" w:eastAsia="Times New Roman" w:hAnsi="Times New Roman"/>
          <w:b/>
          <w:bCs/>
          <w:color w:val="000000"/>
          <w:sz w:val="18"/>
          <w:szCs w:val="18"/>
        </w:rPr>
        <w:t>]</w:t>
      </w:r>
      <w:r w:rsidRPr="00D0401F">
        <w:rPr>
          <w:rFonts w:ascii="Times New Roman" w:eastAsia="Times New Roman" w:hAnsi="Times New Roman"/>
          <w:color w:val="000000"/>
          <w:sz w:val="18"/>
          <w:szCs w:val="18"/>
        </w:rPr>
        <w:t> </w:t>
      </w:r>
      <w:r w:rsidRPr="00D0401F">
        <w:rPr>
          <w:rFonts w:ascii="Times New Roman" w:eastAsia="Times New Roman" w:hAnsi="Times New Roman"/>
          <w:i/>
          <w:iCs/>
          <w:color w:val="000000"/>
          <w:sz w:val="18"/>
          <w:szCs w:val="18"/>
        </w:rPr>
        <w:t>$220.08 </w:t>
      </w:r>
      <w:r w:rsidRPr="00D0401F">
        <w:rPr>
          <w:rFonts w:ascii="Times New Roman" w:eastAsia="Times New Roman" w:hAnsi="Times New Roman"/>
          <w:color w:val="000000"/>
          <w:sz w:val="18"/>
          <w:szCs w:val="18"/>
        </w:rPr>
        <w:t>per week of service for non-EBP-IIHS providers</w:t>
      </w:r>
    </w:p>
    <w:p w14:paraId="5DD4B139" w14:textId="77777777" w:rsidR="00D0401F" w:rsidRPr="00D0401F" w:rsidRDefault="00D0401F" w:rsidP="00D0401F">
      <w:pPr>
        <w:spacing w:before="120" w:after="0" w:line="240" w:lineRule="auto"/>
        <w:jc w:val="right"/>
        <w:rPr>
          <w:rFonts w:ascii="Times New Roman" w:eastAsia="Times New Roman" w:hAnsi="Times New Roman"/>
          <w:color w:val="000000"/>
          <w:sz w:val="18"/>
          <w:szCs w:val="18"/>
        </w:rPr>
      </w:pPr>
      <w:r w:rsidRPr="00D0401F">
        <w:rPr>
          <w:rFonts w:ascii="Times New Roman" w:eastAsia="Times New Roman" w:hAnsi="Times New Roman"/>
          <w:color w:val="000000"/>
          <w:sz w:val="18"/>
          <w:szCs w:val="18"/>
        </w:rPr>
        <w:t>ROBERT R. NEALL</w:t>
      </w:r>
      <w:r w:rsidRPr="00D0401F">
        <w:rPr>
          <w:rFonts w:ascii="Times New Roman" w:eastAsia="Times New Roman" w:hAnsi="Times New Roman"/>
          <w:color w:val="000000"/>
          <w:sz w:val="18"/>
          <w:szCs w:val="18"/>
        </w:rPr>
        <w:br/>
        <w:t>Secretary of Health</w:t>
      </w:r>
    </w:p>
    <w:p w14:paraId="4B81CBA4" w14:textId="77777777" w:rsidR="00591063" w:rsidRDefault="00591063"/>
    <w:sectPr w:rsidR="0059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E8"/>
    <w:rsid w:val="00591063"/>
    <w:rsid w:val="00D0401F"/>
    <w:rsid w:val="00FC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D89D"/>
  <w15:chartTrackingRefBased/>
  <w15:docId w15:val="{2F0260D5-F4F5-4E57-B80F-9941145C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E8"/>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FC73E8"/>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FC73E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535274">
      <w:bodyDiv w:val="1"/>
      <w:marLeft w:val="0"/>
      <w:marRight w:val="0"/>
      <w:marTop w:val="0"/>
      <w:marBottom w:val="0"/>
      <w:divBdr>
        <w:top w:val="none" w:sz="0" w:space="0" w:color="auto"/>
        <w:left w:val="none" w:sz="0" w:space="0" w:color="auto"/>
        <w:bottom w:val="none" w:sz="0" w:space="0" w:color="auto"/>
        <w:right w:val="none" w:sz="0" w:space="0" w:color="auto"/>
      </w:divBdr>
    </w:div>
    <w:div w:id="8272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BA33CB80-AA43-455A-B370-C9DFAA65E78C}"/>
</file>

<file path=customXml/itemProps2.xml><?xml version="1.0" encoding="utf-8"?>
<ds:datastoreItem xmlns:ds="http://schemas.openxmlformats.org/officeDocument/2006/customXml" ds:itemID="{B94E822D-571D-469F-BA32-64B00A1B07FF}"/>
</file>

<file path=customXml/itemProps3.xml><?xml version="1.0" encoding="utf-8"?>
<ds:datastoreItem xmlns:ds="http://schemas.openxmlformats.org/officeDocument/2006/customXml" ds:itemID="{EE9A0EC8-F06D-4983-A26E-46F9A2E65695}"/>
</file>

<file path=customXml/itemProps4.xml><?xml version="1.0" encoding="utf-8"?>
<ds:datastoreItem xmlns:ds="http://schemas.openxmlformats.org/officeDocument/2006/customXml" ds:itemID="{B1E369BA-61D8-48DA-8092-03895FD9698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4293</Characters>
  <Application>Microsoft Office Word</Application>
  <DocSecurity>0</DocSecurity>
  <Lines>35</Lines>
  <Paragraphs>10</Paragraphs>
  <ScaleCrop>false</ScaleCrop>
  <Company>Maryland Department of Health</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2020-01-03T15:28:00Z</dcterms:created>
  <dcterms:modified xsi:type="dcterms:W3CDTF">2020-01-03T15:28:00Z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b9bad390-9a56-4726-98f7-810975805415</vt:lpwstr>
  </property>
  <property fmtid="{D5CDD505-2E9C-101B-9397-08002B2CF9AE}" pid="3" name="ContentTypeId">
    <vt:lpwstr>0x01010043EC7C3B402FDA41942B42A45FE06875</vt:lpwstr>
  </property>
</Properties>
</file>