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AD" w:rsidRDefault="001D6CAD" w:rsidP="001D6CAD">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1D6CAD" w:rsidRDefault="001D6CAD" w:rsidP="001D6CAD">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1D6CAD" w:rsidRDefault="001D6CAD" w:rsidP="001D6CAD">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October 25, 2019</w:t>
      </w:r>
    </w:p>
    <w:p w:rsidR="001D6CAD" w:rsidRDefault="001D6CAD" w:rsidP="001D6CAD">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22 • Page 9</w:t>
      </w:r>
      <w:r>
        <w:rPr>
          <w:rFonts w:ascii="Arial" w:eastAsia="Times New Roman" w:hAnsi="Arial" w:cs="Arial"/>
          <w:b/>
          <w:color w:val="000080"/>
          <w:sz w:val="28"/>
          <w:szCs w:val="28"/>
        </w:rPr>
        <w:t>92</w:t>
      </w:r>
      <w:bookmarkStart w:id="0" w:name="_GoBack"/>
      <w:bookmarkEnd w:id="0"/>
    </w:p>
    <w:p w:rsidR="001D6CAD" w:rsidRPr="00085EB6" w:rsidRDefault="001D6CAD" w:rsidP="001D6CAD">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rsidR="001D6CAD" w:rsidRDefault="001D6CAD" w:rsidP="001D6CAD">
      <w:pPr>
        <w:pStyle w:val="st"/>
        <w:spacing w:before="0" w:beforeAutospacing="0" w:after="80" w:afterAutospacing="0"/>
        <w:jc w:val="center"/>
        <w:rPr>
          <w:b/>
          <w:bCs/>
          <w:color w:val="000000"/>
          <w:sz w:val="28"/>
          <w:szCs w:val="28"/>
        </w:rPr>
      </w:pPr>
      <w:r>
        <w:rPr>
          <w:b/>
          <w:bCs/>
          <w:color w:val="000000"/>
          <w:sz w:val="28"/>
          <w:szCs w:val="28"/>
        </w:rPr>
        <w:t>Subtitle 09 MEDICAL CARE PROGRAMS</w:t>
      </w:r>
    </w:p>
    <w:p w:rsidR="001D6CAD" w:rsidRDefault="001D6CAD" w:rsidP="001D6CAD">
      <w:pPr>
        <w:pStyle w:val="ch"/>
        <w:spacing w:before="0" w:beforeAutospacing="0" w:after="120" w:afterAutospacing="0"/>
        <w:ind w:left="158" w:hanging="158"/>
        <w:jc w:val="both"/>
        <w:rPr>
          <w:b/>
          <w:bCs/>
          <w:color w:val="000000"/>
          <w:sz w:val="27"/>
          <w:szCs w:val="27"/>
        </w:rPr>
      </w:pPr>
      <w:bookmarkStart w:id="1" w:name="_Toc22648897"/>
      <w:bookmarkEnd w:id="1"/>
      <w:r>
        <w:rPr>
          <w:b/>
          <w:bCs/>
          <w:color w:val="000000"/>
          <w:sz w:val="27"/>
          <w:szCs w:val="27"/>
        </w:rPr>
        <w:t>10.09.79 Presumptive Eligibility for Correctional Facilities</w:t>
      </w:r>
    </w:p>
    <w:p w:rsidR="001D6CAD" w:rsidRDefault="001D6CAD" w:rsidP="001D6CAD">
      <w:pPr>
        <w:pStyle w:val="au"/>
        <w:spacing w:before="120" w:beforeAutospacing="0" w:after="0" w:afterAutospacing="0"/>
        <w:jc w:val="center"/>
        <w:rPr>
          <w:color w:val="000000"/>
          <w:sz w:val="16"/>
          <w:szCs w:val="16"/>
        </w:rPr>
      </w:pPr>
      <w:r>
        <w:rPr>
          <w:color w:val="000000"/>
          <w:sz w:val="16"/>
          <w:szCs w:val="16"/>
        </w:rPr>
        <w:t>Authority: Health-General Article, §15-103(b), Annotated Code of Maryland</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Notice of Proposed Action</w:t>
      </w:r>
    </w:p>
    <w:p w:rsidR="001D6CAD" w:rsidRDefault="001D6CAD" w:rsidP="001D6CAD">
      <w:pPr>
        <w:pStyle w:val="dn"/>
        <w:spacing w:before="40" w:beforeAutospacing="0" w:after="40" w:afterAutospacing="0"/>
        <w:jc w:val="center"/>
        <w:rPr>
          <w:color w:val="000000"/>
          <w:sz w:val="16"/>
          <w:szCs w:val="16"/>
        </w:rPr>
      </w:pPr>
      <w:r>
        <w:rPr>
          <w:color w:val="000000"/>
          <w:sz w:val="16"/>
          <w:szCs w:val="16"/>
        </w:rPr>
        <w:t>[19-211-P]</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Regulations </w:t>
      </w:r>
      <w:r>
        <w:rPr>
          <w:b/>
          <w:bCs/>
          <w:color w:val="000000"/>
          <w:sz w:val="18"/>
          <w:szCs w:val="18"/>
        </w:rPr>
        <w:t>.02</w:t>
      </w:r>
      <w:r>
        <w:rPr>
          <w:color w:val="000000"/>
          <w:sz w:val="18"/>
          <w:szCs w:val="18"/>
        </w:rPr>
        <w:t> and </w:t>
      </w:r>
      <w:r>
        <w:rPr>
          <w:b/>
          <w:bCs/>
          <w:color w:val="000000"/>
          <w:sz w:val="18"/>
          <w:szCs w:val="18"/>
        </w:rPr>
        <w:t>.03</w:t>
      </w:r>
      <w:r>
        <w:rPr>
          <w:color w:val="000000"/>
          <w:sz w:val="18"/>
          <w:szCs w:val="18"/>
        </w:rPr>
        <w:t> under </w:t>
      </w:r>
      <w:r>
        <w:rPr>
          <w:b/>
          <w:bCs/>
          <w:color w:val="000000"/>
          <w:sz w:val="18"/>
          <w:szCs w:val="18"/>
        </w:rPr>
        <w:t>COMAR 10.09.79 Presumptive Eligibility for Correctional Facilities</w:t>
      </w:r>
      <w:r>
        <w:rPr>
          <w:color w:val="000000"/>
          <w:sz w:val="18"/>
          <w:szCs w:val="18"/>
        </w:rPr>
        <w:t>.</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Statement of Purpose</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The purpose of this action is to clarify requirements for eligibility workers completing presumptive eligibility applications for individuals in correctional facilities.</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Estimate of Economic Impact</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rsidR="001D6CAD" w:rsidRDefault="001D6CAD" w:rsidP="001D6CAD">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rsidR="001D6CAD" w:rsidRDefault="001D6CAD" w:rsidP="001D6CAD">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25, 2019. A public hearing has not been scheduled.</w:t>
      </w:r>
    </w:p>
    <w:p w:rsidR="001D6CAD" w:rsidRDefault="001D6CAD" w:rsidP="001D6CAD">
      <w:pPr>
        <w:pStyle w:val="rt"/>
        <w:spacing w:before="140" w:beforeAutospacing="0" w:after="0" w:afterAutospacing="0"/>
        <w:ind w:left="533" w:hanging="533"/>
        <w:jc w:val="both"/>
        <w:rPr>
          <w:b/>
          <w:bCs/>
          <w:color w:val="000000"/>
          <w:sz w:val="18"/>
          <w:szCs w:val="18"/>
        </w:rPr>
      </w:pPr>
      <w:r>
        <w:rPr>
          <w:b/>
          <w:bCs/>
          <w:color w:val="000000"/>
          <w:sz w:val="18"/>
          <w:szCs w:val="18"/>
        </w:rPr>
        <w:t>.02 Definitions.</w:t>
      </w:r>
    </w:p>
    <w:p w:rsidR="001D6CAD" w:rsidRDefault="001D6CAD" w:rsidP="001D6CAD">
      <w:pPr>
        <w:pStyle w:val="p1"/>
        <w:spacing w:before="0" w:beforeAutospacing="0" w:after="0" w:afterAutospacing="0"/>
        <w:ind w:firstLine="216"/>
        <w:jc w:val="both"/>
        <w:rPr>
          <w:color w:val="000000"/>
          <w:sz w:val="18"/>
          <w:szCs w:val="18"/>
        </w:rPr>
      </w:pPr>
      <w:r>
        <w:rPr>
          <w:color w:val="000000"/>
          <w:sz w:val="18"/>
          <w:szCs w:val="18"/>
        </w:rPr>
        <w:t>A. (text unchanged)</w:t>
      </w:r>
    </w:p>
    <w:p w:rsidR="001D6CAD" w:rsidRDefault="001D6CAD" w:rsidP="001D6CAD">
      <w:pPr>
        <w:pStyle w:val="p1"/>
        <w:spacing w:before="0" w:beforeAutospacing="0" w:after="0" w:afterAutospacing="0"/>
        <w:ind w:firstLine="216"/>
        <w:jc w:val="both"/>
        <w:rPr>
          <w:color w:val="000000"/>
          <w:sz w:val="18"/>
          <w:szCs w:val="18"/>
        </w:rPr>
      </w:pPr>
      <w:r>
        <w:rPr>
          <w:color w:val="000000"/>
          <w:sz w:val="18"/>
          <w:szCs w:val="18"/>
        </w:rPr>
        <w:t>B. Terms Defined.</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12) (text unchanged)</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(13) “Presumptive eligibility” means temporary eligibility for Medical Assistance as determined by </w:t>
      </w:r>
      <w:r>
        <w:rPr>
          <w:b/>
          <w:bCs/>
          <w:color w:val="000000"/>
          <w:sz w:val="18"/>
          <w:szCs w:val="18"/>
        </w:rPr>
        <w:t>[</w:t>
      </w:r>
      <w:r>
        <w:rPr>
          <w:color w:val="000000"/>
          <w:sz w:val="18"/>
          <w:szCs w:val="18"/>
        </w:rPr>
        <w:t>a presumptive</w:t>
      </w:r>
      <w:r>
        <w:rPr>
          <w:b/>
          <w:bCs/>
          <w:color w:val="000000"/>
          <w:sz w:val="18"/>
          <w:szCs w:val="18"/>
        </w:rPr>
        <w:t>]</w:t>
      </w:r>
      <w:r>
        <w:rPr>
          <w:color w:val="000000"/>
          <w:sz w:val="18"/>
          <w:szCs w:val="18"/>
        </w:rPr>
        <w:t> </w:t>
      </w:r>
      <w:r>
        <w:rPr>
          <w:i/>
          <w:iCs/>
          <w:color w:val="000000"/>
          <w:sz w:val="18"/>
          <w:szCs w:val="18"/>
        </w:rPr>
        <w:t>an</w:t>
      </w:r>
      <w:r>
        <w:rPr>
          <w:color w:val="000000"/>
          <w:sz w:val="18"/>
          <w:szCs w:val="18"/>
        </w:rPr>
        <w:t> eligibility worker at a participating qualified correctional facility in accordance with this chapter.</w:t>
      </w:r>
    </w:p>
    <w:p w:rsidR="001D6CAD" w:rsidRDefault="001D6CAD" w:rsidP="001D6CAD">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(14) “Presumptive eligibility worker” means an individual who is trained to make presumptive eligibility determinations and includes an employee of a:</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(a) Local health department who is physically present at a participating correctional facility at the time of the presumptive eligibility determination; or</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(b) Correctional facility.</w:t>
      </w:r>
      <w:r>
        <w:rPr>
          <w:b/>
          <w:bCs/>
          <w:color w:val="000000"/>
          <w:sz w:val="18"/>
          <w:szCs w:val="18"/>
        </w:rPr>
        <w:t>]</w:t>
      </w:r>
    </w:p>
    <w:p w:rsidR="001D6CAD" w:rsidRDefault="001D6CAD" w:rsidP="001D6CAD">
      <w:pPr>
        <w:pStyle w:val="rt"/>
        <w:spacing w:before="140" w:beforeAutospacing="0" w:after="0" w:afterAutospacing="0"/>
        <w:ind w:left="533" w:hanging="533"/>
        <w:jc w:val="both"/>
        <w:rPr>
          <w:b/>
          <w:bCs/>
          <w:color w:val="000000"/>
          <w:sz w:val="18"/>
          <w:szCs w:val="18"/>
        </w:rPr>
      </w:pPr>
      <w:r>
        <w:rPr>
          <w:b/>
          <w:bCs/>
          <w:color w:val="000000"/>
          <w:sz w:val="18"/>
          <w:szCs w:val="18"/>
        </w:rPr>
        <w:t>.03 Requirements.</w:t>
      </w:r>
    </w:p>
    <w:p w:rsidR="001D6CAD" w:rsidRDefault="001D6CAD" w:rsidP="001D6CAD">
      <w:pPr>
        <w:pStyle w:val="p1"/>
        <w:spacing w:before="0" w:beforeAutospacing="0" w:after="0" w:afterAutospacing="0"/>
        <w:ind w:firstLine="216"/>
        <w:jc w:val="both"/>
        <w:rPr>
          <w:color w:val="000000"/>
          <w:sz w:val="18"/>
          <w:szCs w:val="18"/>
        </w:rPr>
      </w:pPr>
      <w:r>
        <w:rPr>
          <w:color w:val="000000"/>
          <w:sz w:val="18"/>
          <w:szCs w:val="18"/>
        </w:rPr>
        <w:t>A. (text unchanged)</w:t>
      </w:r>
    </w:p>
    <w:p w:rsidR="001D6CAD" w:rsidRDefault="001D6CAD" w:rsidP="001D6CAD">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B. To participate as a presumptive eligibility entity, the correctional facility shall enter a memorandum of understanding with the Department.</w:t>
      </w:r>
    </w:p>
    <w:p w:rsidR="001D6CAD" w:rsidRDefault="001D6CAD" w:rsidP="001D6CAD">
      <w:pPr>
        <w:pStyle w:val="p1"/>
        <w:spacing w:before="0" w:beforeAutospacing="0" w:after="0" w:afterAutospacing="0"/>
        <w:ind w:firstLine="216"/>
        <w:jc w:val="both"/>
        <w:rPr>
          <w:color w:val="000000"/>
          <w:sz w:val="18"/>
          <w:szCs w:val="18"/>
        </w:rPr>
      </w:pPr>
      <w:r>
        <w:rPr>
          <w:color w:val="000000"/>
          <w:sz w:val="18"/>
          <w:szCs w:val="18"/>
        </w:rPr>
        <w:t>C. The memorandum of understanding required under §B of this regulation shall require correctional facilities to:</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(1) Comply with Departmental policies and procedures supplied by the Department at the time of application and training;</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(2) Meet accuracy and timeliness standards established by the Department;</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(3) Submit a list to the Department of presumptive eligibility workers who will attend presumptive eligibility training developed by the Department; and</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(4) Report the requested information on a form designated by the Department.</w:t>
      </w:r>
      <w:r>
        <w:rPr>
          <w:b/>
          <w:bCs/>
          <w:color w:val="000000"/>
          <w:sz w:val="18"/>
          <w:szCs w:val="18"/>
        </w:rPr>
        <w:t>]</w:t>
      </w:r>
    </w:p>
    <w:p w:rsidR="001D6CAD" w:rsidRDefault="001D6CAD" w:rsidP="001D6CAD">
      <w:pPr>
        <w:pStyle w:val="p1"/>
        <w:spacing w:before="0" w:beforeAutospacing="0" w:after="0" w:afterAutospacing="0"/>
        <w:ind w:firstLine="216"/>
        <w:jc w:val="both"/>
        <w:rPr>
          <w:color w:val="000000"/>
          <w:sz w:val="18"/>
          <w:szCs w:val="18"/>
        </w:rPr>
      </w:pPr>
      <w:r>
        <w:rPr>
          <w:b/>
          <w:bCs/>
          <w:color w:val="000000"/>
          <w:sz w:val="18"/>
          <w:szCs w:val="18"/>
        </w:rPr>
        <w:lastRenderedPageBreak/>
        <w:t>[</w:t>
      </w:r>
      <w:r>
        <w:rPr>
          <w:color w:val="000000"/>
          <w:sz w:val="18"/>
          <w:szCs w:val="18"/>
        </w:rPr>
        <w:t>D.</w:t>
      </w:r>
      <w:r>
        <w:rPr>
          <w:b/>
          <w:bCs/>
          <w:color w:val="000000"/>
          <w:sz w:val="18"/>
          <w:szCs w:val="18"/>
        </w:rPr>
        <w:t>]</w:t>
      </w:r>
      <w:r>
        <w:rPr>
          <w:color w:val="000000"/>
          <w:sz w:val="18"/>
          <w:szCs w:val="18"/>
        </w:rPr>
        <w:t> </w:t>
      </w:r>
      <w:r>
        <w:rPr>
          <w:i/>
          <w:iCs/>
          <w:color w:val="000000"/>
          <w:sz w:val="18"/>
          <w:szCs w:val="18"/>
        </w:rPr>
        <w:t>B.</w:t>
      </w:r>
      <w:r>
        <w:rPr>
          <w:color w:val="000000"/>
          <w:sz w:val="18"/>
          <w:szCs w:val="18"/>
        </w:rPr>
        <w:t> </w:t>
      </w:r>
      <w:r>
        <w:rPr>
          <w:b/>
          <w:bCs/>
          <w:color w:val="000000"/>
          <w:sz w:val="18"/>
          <w:szCs w:val="18"/>
        </w:rPr>
        <w:t>[</w:t>
      </w:r>
      <w:r>
        <w:rPr>
          <w:color w:val="000000"/>
          <w:sz w:val="18"/>
          <w:szCs w:val="18"/>
        </w:rPr>
        <w:t>Before assisting an applicant in filing a presumptive eligibility application, the presumptive</w:t>
      </w:r>
      <w:r>
        <w:rPr>
          <w:b/>
          <w:bCs/>
          <w:color w:val="000000"/>
          <w:sz w:val="18"/>
          <w:szCs w:val="18"/>
        </w:rPr>
        <w:t>]</w:t>
      </w:r>
      <w:r>
        <w:rPr>
          <w:color w:val="000000"/>
          <w:sz w:val="18"/>
          <w:szCs w:val="18"/>
        </w:rPr>
        <w:t> </w:t>
      </w:r>
      <w:r>
        <w:rPr>
          <w:i/>
          <w:iCs/>
          <w:color w:val="000000"/>
          <w:sz w:val="18"/>
          <w:szCs w:val="18"/>
        </w:rPr>
        <w:t>The </w:t>
      </w:r>
      <w:r>
        <w:rPr>
          <w:color w:val="000000"/>
          <w:sz w:val="18"/>
          <w:szCs w:val="18"/>
        </w:rPr>
        <w:t>eligibility worker shall:</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2) (text unchanged)</w:t>
      </w:r>
    </w:p>
    <w:p w:rsidR="001D6CAD" w:rsidRDefault="001D6CAD" w:rsidP="001D6CAD">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E.</w:t>
      </w:r>
      <w:r>
        <w:rPr>
          <w:b/>
          <w:bCs/>
          <w:color w:val="000000"/>
          <w:sz w:val="18"/>
          <w:szCs w:val="18"/>
        </w:rPr>
        <w:t>]</w:t>
      </w:r>
      <w:r>
        <w:rPr>
          <w:color w:val="000000"/>
          <w:sz w:val="18"/>
          <w:szCs w:val="18"/>
        </w:rPr>
        <w:t> </w:t>
      </w:r>
      <w:r>
        <w:rPr>
          <w:i/>
          <w:iCs/>
          <w:color w:val="000000"/>
          <w:sz w:val="18"/>
          <w:szCs w:val="18"/>
        </w:rPr>
        <w:t>C. </w:t>
      </w:r>
      <w:r>
        <w:rPr>
          <w:b/>
          <w:bCs/>
          <w:color w:val="000000"/>
          <w:sz w:val="18"/>
          <w:szCs w:val="18"/>
        </w:rPr>
        <w:t>[</w:t>
      </w:r>
      <w:r>
        <w:rPr>
          <w:color w:val="000000"/>
          <w:sz w:val="18"/>
          <w:szCs w:val="18"/>
        </w:rPr>
        <w:t>If</w:t>
      </w:r>
      <w:r>
        <w:rPr>
          <w:b/>
          <w:bCs/>
          <w:color w:val="000000"/>
          <w:sz w:val="18"/>
          <w:szCs w:val="18"/>
        </w:rPr>
        <w:t>]</w:t>
      </w:r>
      <w:r>
        <w:rPr>
          <w:color w:val="000000"/>
          <w:sz w:val="18"/>
          <w:szCs w:val="18"/>
        </w:rPr>
        <w:t> </w:t>
      </w:r>
      <w:r>
        <w:rPr>
          <w:i/>
          <w:iCs/>
          <w:color w:val="000000"/>
          <w:sz w:val="18"/>
          <w:szCs w:val="18"/>
        </w:rPr>
        <w:t>Unless</w:t>
      </w:r>
      <w:r>
        <w:rPr>
          <w:color w:val="000000"/>
          <w:sz w:val="18"/>
          <w:szCs w:val="18"/>
        </w:rPr>
        <w:t> the </w:t>
      </w:r>
      <w:r>
        <w:rPr>
          <w:b/>
          <w:bCs/>
          <w:color w:val="000000"/>
          <w:sz w:val="18"/>
          <w:szCs w:val="18"/>
        </w:rPr>
        <w:t>[</w:t>
      </w:r>
      <w:r>
        <w:rPr>
          <w:color w:val="000000"/>
          <w:sz w:val="18"/>
          <w:szCs w:val="18"/>
        </w:rPr>
        <w:t>individual’s full</w:t>
      </w:r>
      <w:r>
        <w:rPr>
          <w:b/>
          <w:bCs/>
          <w:color w:val="000000"/>
          <w:sz w:val="18"/>
          <w:szCs w:val="18"/>
        </w:rPr>
        <w:t>]</w:t>
      </w:r>
      <w:r>
        <w:rPr>
          <w:color w:val="000000"/>
          <w:sz w:val="18"/>
          <w:szCs w:val="18"/>
        </w:rPr>
        <w:t> </w:t>
      </w:r>
      <w:r>
        <w:rPr>
          <w:i/>
          <w:iCs/>
          <w:color w:val="000000"/>
          <w:sz w:val="18"/>
          <w:szCs w:val="18"/>
        </w:rPr>
        <w:t>individual is enrolled in the Maryland</w:t>
      </w:r>
      <w:r>
        <w:rPr>
          <w:color w:val="000000"/>
          <w:sz w:val="18"/>
          <w:szCs w:val="18"/>
        </w:rPr>
        <w:t> Medical Assistance </w:t>
      </w:r>
      <w:r>
        <w:rPr>
          <w:b/>
          <w:bCs/>
          <w:color w:val="000000"/>
          <w:sz w:val="18"/>
          <w:szCs w:val="18"/>
        </w:rPr>
        <w:t>[</w:t>
      </w:r>
      <w:r>
        <w:rPr>
          <w:color w:val="000000"/>
          <w:sz w:val="18"/>
          <w:szCs w:val="18"/>
        </w:rPr>
        <w:t>application is not approved</w:t>
      </w:r>
      <w:r>
        <w:rPr>
          <w:b/>
          <w:bCs/>
          <w:color w:val="000000"/>
          <w:sz w:val="18"/>
          <w:szCs w:val="18"/>
        </w:rPr>
        <w:t>]</w:t>
      </w:r>
      <w:r>
        <w:rPr>
          <w:color w:val="000000"/>
          <w:sz w:val="18"/>
          <w:szCs w:val="18"/>
        </w:rPr>
        <w:t> </w:t>
      </w:r>
      <w:r>
        <w:rPr>
          <w:i/>
          <w:iCs/>
          <w:color w:val="000000"/>
          <w:sz w:val="18"/>
          <w:szCs w:val="18"/>
        </w:rPr>
        <w:t>Program</w:t>
      </w:r>
      <w:r>
        <w:rPr>
          <w:color w:val="000000"/>
          <w:sz w:val="18"/>
          <w:szCs w:val="18"/>
        </w:rPr>
        <w:t>, the </w:t>
      </w:r>
      <w:r>
        <w:rPr>
          <w:b/>
          <w:bCs/>
          <w:color w:val="000000"/>
          <w:sz w:val="18"/>
          <w:szCs w:val="18"/>
        </w:rPr>
        <w:t>[</w:t>
      </w:r>
      <w:r>
        <w:rPr>
          <w:color w:val="000000"/>
          <w:sz w:val="18"/>
          <w:szCs w:val="18"/>
        </w:rPr>
        <w:t>presumptive</w:t>
      </w:r>
      <w:r>
        <w:rPr>
          <w:b/>
          <w:bCs/>
          <w:color w:val="000000"/>
          <w:sz w:val="18"/>
          <w:szCs w:val="18"/>
        </w:rPr>
        <w:t>]</w:t>
      </w:r>
      <w:r>
        <w:rPr>
          <w:color w:val="000000"/>
          <w:sz w:val="18"/>
          <w:szCs w:val="18"/>
        </w:rPr>
        <w:t> eligibility worker shall:</w:t>
      </w:r>
    </w:p>
    <w:p w:rsidR="001D6CAD" w:rsidRDefault="001D6CAD" w:rsidP="001D6CAD">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4) (text unchanged)</w:t>
      </w:r>
    </w:p>
    <w:p w:rsidR="001D6CAD" w:rsidRDefault="001D6CAD" w:rsidP="001D6CAD">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F.</w:t>
      </w:r>
      <w:r>
        <w:rPr>
          <w:b/>
          <w:bCs/>
          <w:color w:val="000000"/>
          <w:sz w:val="18"/>
          <w:szCs w:val="18"/>
        </w:rPr>
        <w:t>]</w:t>
      </w:r>
      <w:r>
        <w:rPr>
          <w:color w:val="000000"/>
          <w:sz w:val="18"/>
          <w:szCs w:val="18"/>
        </w:rPr>
        <w:t> </w:t>
      </w:r>
      <w:r>
        <w:rPr>
          <w:i/>
          <w:iCs/>
          <w:color w:val="000000"/>
          <w:sz w:val="18"/>
          <w:szCs w:val="18"/>
        </w:rPr>
        <w:t>D.</w:t>
      </w:r>
      <w:r>
        <w:rPr>
          <w:color w:val="000000"/>
          <w:sz w:val="18"/>
          <w:szCs w:val="18"/>
        </w:rPr>
        <w:t> </w:t>
      </w:r>
      <w:proofErr w:type="gramStart"/>
      <w:r>
        <w:rPr>
          <w:color w:val="000000"/>
          <w:sz w:val="18"/>
          <w:szCs w:val="18"/>
        </w:rPr>
        <w:t>In order to</w:t>
      </w:r>
      <w:proofErr w:type="gramEnd"/>
      <w:r>
        <w:rPr>
          <w:color w:val="000000"/>
          <w:sz w:val="18"/>
          <w:szCs w:val="18"/>
        </w:rPr>
        <w:t xml:space="preserve"> ensure the applicant has temporary Medical Assistance coverage, the </w:t>
      </w:r>
      <w:r>
        <w:rPr>
          <w:b/>
          <w:bCs/>
          <w:color w:val="000000"/>
          <w:sz w:val="18"/>
          <w:szCs w:val="18"/>
        </w:rPr>
        <w:t>[</w:t>
      </w:r>
      <w:r>
        <w:rPr>
          <w:color w:val="000000"/>
          <w:sz w:val="18"/>
          <w:szCs w:val="18"/>
        </w:rPr>
        <w:t>presumptive</w:t>
      </w:r>
      <w:r>
        <w:rPr>
          <w:b/>
          <w:bCs/>
          <w:color w:val="000000"/>
          <w:sz w:val="18"/>
          <w:szCs w:val="18"/>
        </w:rPr>
        <w:t>]</w:t>
      </w:r>
      <w:r>
        <w:rPr>
          <w:color w:val="000000"/>
          <w:sz w:val="18"/>
          <w:szCs w:val="18"/>
        </w:rPr>
        <w:t> eligibility worker shall submit the presumptive eligibility application to the Department on the date the application is completed.</w:t>
      </w:r>
    </w:p>
    <w:p w:rsidR="001D6CAD" w:rsidRDefault="001D6CAD" w:rsidP="001D6CAD">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G.</w:t>
      </w:r>
      <w:r>
        <w:rPr>
          <w:b/>
          <w:bCs/>
          <w:color w:val="000000"/>
          <w:sz w:val="18"/>
          <w:szCs w:val="18"/>
        </w:rPr>
        <w:t>]</w:t>
      </w:r>
      <w:r>
        <w:rPr>
          <w:color w:val="000000"/>
          <w:sz w:val="18"/>
          <w:szCs w:val="18"/>
        </w:rPr>
        <w:t> </w:t>
      </w:r>
      <w:r>
        <w:rPr>
          <w:i/>
          <w:iCs/>
          <w:color w:val="000000"/>
          <w:sz w:val="18"/>
          <w:szCs w:val="18"/>
        </w:rPr>
        <w:t>E.</w:t>
      </w:r>
      <w:r>
        <w:rPr>
          <w:color w:val="000000"/>
          <w:sz w:val="18"/>
          <w:szCs w:val="18"/>
        </w:rPr>
        <w:t> (text unchanged)</w:t>
      </w:r>
    </w:p>
    <w:p w:rsidR="001D6CAD" w:rsidRDefault="001D6CAD" w:rsidP="001D6CAD">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H.</w:t>
      </w:r>
      <w:r>
        <w:rPr>
          <w:b/>
          <w:bCs/>
          <w:color w:val="000000"/>
          <w:sz w:val="18"/>
          <w:szCs w:val="18"/>
        </w:rPr>
        <w:t>]</w:t>
      </w:r>
      <w:r>
        <w:rPr>
          <w:color w:val="000000"/>
          <w:sz w:val="18"/>
          <w:szCs w:val="18"/>
        </w:rPr>
        <w:t> </w:t>
      </w:r>
      <w:r>
        <w:rPr>
          <w:i/>
          <w:iCs/>
          <w:color w:val="000000"/>
          <w:sz w:val="18"/>
          <w:szCs w:val="18"/>
        </w:rPr>
        <w:t>F.</w:t>
      </w:r>
      <w:r>
        <w:rPr>
          <w:color w:val="000000"/>
          <w:sz w:val="18"/>
          <w:szCs w:val="18"/>
        </w:rPr>
        <w:t> On finding that a qualified correctional facility has failed to meet the requirements of </w:t>
      </w:r>
      <w:r>
        <w:rPr>
          <w:b/>
          <w:bCs/>
          <w:color w:val="000000"/>
          <w:sz w:val="18"/>
          <w:szCs w:val="18"/>
        </w:rPr>
        <w:t>[</w:t>
      </w:r>
      <w:r>
        <w:rPr>
          <w:color w:val="000000"/>
          <w:sz w:val="18"/>
          <w:szCs w:val="18"/>
        </w:rPr>
        <w:t>§§A—G</w:t>
      </w:r>
      <w:r>
        <w:rPr>
          <w:b/>
          <w:bCs/>
          <w:color w:val="000000"/>
          <w:sz w:val="18"/>
          <w:szCs w:val="18"/>
        </w:rPr>
        <w:t>]</w:t>
      </w:r>
      <w:r>
        <w:rPr>
          <w:color w:val="000000"/>
          <w:sz w:val="18"/>
          <w:szCs w:val="18"/>
        </w:rPr>
        <w:t> </w:t>
      </w:r>
      <w:r>
        <w:rPr>
          <w:i/>
          <w:iCs/>
          <w:color w:val="000000"/>
          <w:sz w:val="18"/>
          <w:szCs w:val="18"/>
        </w:rPr>
        <w:t>§§A—E </w:t>
      </w:r>
      <w:r>
        <w:rPr>
          <w:color w:val="000000"/>
          <w:sz w:val="18"/>
          <w:szCs w:val="18"/>
        </w:rPr>
        <w:t>of this regulation, the facility shall take reasonable corrective action measures, as determined by the Department, to address the noncompliance.</w:t>
      </w:r>
    </w:p>
    <w:p w:rsidR="001D6CAD" w:rsidRDefault="001D6CAD" w:rsidP="001D6CAD">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rsidR="00911D3F" w:rsidRDefault="00911D3F"/>
    <w:sectPr w:rsidR="0091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D"/>
    <w:rsid w:val="001D6CAD"/>
    <w:rsid w:val="0091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1086"/>
  <w15:chartTrackingRefBased/>
  <w15:docId w15:val="{B0906DEA-0B3E-46DC-83CC-0BE05AF2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AD"/>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1D6CAD"/>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1D6CA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2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2C1EF6C-8BE2-451C-B39A-7D69C79EBD05}"/>
</file>

<file path=customXml/itemProps2.xml><?xml version="1.0" encoding="utf-8"?>
<ds:datastoreItem xmlns:ds="http://schemas.openxmlformats.org/officeDocument/2006/customXml" ds:itemID="{77A6CA94-E48C-4F1F-9472-EF9B4F8D5EF6}"/>
</file>

<file path=customXml/itemProps3.xml><?xml version="1.0" encoding="utf-8"?>
<ds:datastoreItem xmlns:ds="http://schemas.openxmlformats.org/officeDocument/2006/customXml" ds:itemID="{A796E8D3-2E9C-48CC-A1C1-C3F27A631254}"/>
</file>

<file path=customXml/itemProps4.xml><?xml version="1.0" encoding="utf-8"?>
<ds:datastoreItem xmlns:ds="http://schemas.openxmlformats.org/officeDocument/2006/customXml" ds:itemID="{E91D72BA-9BC7-4807-AA78-4F711FF0FD41}"/>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3194</Characters>
  <Application>Microsoft Office Word</Application>
  <DocSecurity>0</DocSecurity>
  <Lines>26</Lines>
  <Paragraphs>7</Paragraphs>
  <ScaleCrop>false</ScaleCrop>
  <Company>Maryland Department of Health</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2019-10-25T15:49:00Z</dcterms:created>
  <dcterms:modified xsi:type="dcterms:W3CDTF">2019-10-25T15:51:00Z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e0f50ae3-dd22-41b0-8b46-6eff33961d2c</vt:lpwstr>
  </property>
</Properties>
</file>