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EE0" w:rsidRDefault="008A2EE0" w:rsidP="008A2EE0">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8A2EE0" w:rsidRDefault="008A2EE0" w:rsidP="008A2EE0">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8A2EE0" w:rsidRDefault="008A2EE0" w:rsidP="008A2EE0">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June 7, 2019</w:t>
      </w:r>
    </w:p>
    <w:p w:rsidR="008A2EE0" w:rsidRDefault="008A2EE0" w:rsidP="008A2EE0">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12 • Page 551</w:t>
      </w:r>
      <w:r>
        <w:rPr>
          <w:rFonts w:ascii="Arial" w:eastAsia="Times New Roman" w:hAnsi="Arial" w:cs="Arial"/>
          <w:b/>
          <w:color w:val="000080"/>
          <w:sz w:val="28"/>
          <w:szCs w:val="28"/>
        </w:rPr>
        <w:t>-552</w:t>
      </w:r>
      <w:bookmarkStart w:id="0" w:name="_GoBack"/>
      <w:bookmarkEnd w:id="0"/>
    </w:p>
    <w:p w:rsidR="008A2EE0" w:rsidRPr="005E1E47" w:rsidRDefault="008A2EE0" w:rsidP="008A2EE0">
      <w:pPr>
        <w:spacing w:after="120" w:line="240" w:lineRule="auto"/>
        <w:jc w:val="center"/>
        <w:rPr>
          <w:rFonts w:ascii="Times New Roman" w:eastAsia="Times New Roman" w:hAnsi="Times New Roman"/>
          <w:b/>
          <w:bCs/>
          <w:color w:val="000000"/>
          <w:sz w:val="36"/>
          <w:szCs w:val="36"/>
        </w:rPr>
      </w:pPr>
      <w:r w:rsidRPr="005E1E47">
        <w:rPr>
          <w:rFonts w:ascii="Times New Roman" w:eastAsia="Times New Roman" w:hAnsi="Times New Roman"/>
          <w:b/>
          <w:bCs/>
          <w:color w:val="000000"/>
          <w:sz w:val="36"/>
          <w:szCs w:val="36"/>
        </w:rPr>
        <w:t>Title 10 </w:t>
      </w:r>
      <w:r w:rsidRPr="005E1E47">
        <w:rPr>
          <w:rFonts w:ascii="Times New Roman" w:eastAsia="Times New Roman" w:hAnsi="Times New Roman"/>
          <w:b/>
          <w:bCs/>
          <w:color w:val="000000"/>
          <w:sz w:val="36"/>
          <w:szCs w:val="36"/>
        </w:rPr>
        <w:br/>
        <w:t>MARYLAND DEPARTMENT OF HEALTH</w:t>
      </w:r>
    </w:p>
    <w:p w:rsidR="008A2EE0" w:rsidRPr="008A2EE0" w:rsidRDefault="008A2EE0" w:rsidP="008A2EE0">
      <w:pPr>
        <w:spacing w:after="80" w:line="240" w:lineRule="auto"/>
        <w:jc w:val="center"/>
        <w:rPr>
          <w:rFonts w:ascii="Times New Roman" w:eastAsia="Times New Roman" w:hAnsi="Times New Roman"/>
          <w:b/>
          <w:bCs/>
          <w:color w:val="000000"/>
          <w:sz w:val="28"/>
          <w:szCs w:val="28"/>
        </w:rPr>
      </w:pPr>
      <w:r w:rsidRPr="008A2EE0">
        <w:rPr>
          <w:rFonts w:ascii="Times New Roman" w:eastAsia="Times New Roman" w:hAnsi="Times New Roman"/>
          <w:b/>
          <w:bCs/>
          <w:color w:val="000000"/>
          <w:sz w:val="28"/>
          <w:szCs w:val="28"/>
        </w:rPr>
        <w:t>Subtitle 09 MEDICAL CARE PROGRAMS</w:t>
      </w:r>
    </w:p>
    <w:p w:rsidR="008A2EE0" w:rsidRPr="008A2EE0" w:rsidRDefault="008A2EE0" w:rsidP="008A2EE0">
      <w:pPr>
        <w:spacing w:after="120" w:line="240" w:lineRule="auto"/>
        <w:ind w:left="158" w:hanging="158"/>
        <w:jc w:val="both"/>
        <w:rPr>
          <w:rFonts w:ascii="Times New Roman" w:eastAsia="Times New Roman" w:hAnsi="Times New Roman"/>
          <w:b/>
          <w:bCs/>
          <w:color w:val="000000"/>
          <w:sz w:val="27"/>
          <w:szCs w:val="27"/>
        </w:rPr>
      </w:pPr>
      <w:bookmarkStart w:id="1" w:name="_Toc10553526"/>
      <w:bookmarkEnd w:id="1"/>
      <w:r w:rsidRPr="008A2EE0">
        <w:rPr>
          <w:rFonts w:ascii="Times New Roman" w:eastAsia="Times New Roman" w:hAnsi="Times New Roman"/>
          <w:b/>
          <w:bCs/>
          <w:color w:val="000000"/>
          <w:sz w:val="27"/>
          <w:szCs w:val="27"/>
        </w:rPr>
        <w:t>10.09.49 Telehealth Services</w:t>
      </w:r>
    </w:p>
    <w:p w:rsidR="008A2EE0" w:rsidRPr="008A2EE0" w:rsidRDefault="008A2EE0" w:rsidP="008A2EE0">
      <w:pPr>
        <w:spacing w:before="120" w:after="0" w:line="240" w:lineRule="auto"/>
        <w:jc w:val="center"/>
        <w:rPr>
          <w:rFonts w:ascii="Times New Roman" w:eastAsia="Times New Roman" w:hAnsi="Times New Roman"/>
          <w:color w:val="000000"/>
          <w:sz w:val="16"/>
          <w:szCs w:val="16"/>
        </w:rPr>
      </w:pPr>
      <w:r w:rsidRPr="008A2EE0">
        <w:rPr>
          <w:rFonts w:ascii="Times New Roman" w:eastAsia="Times New Roman" w:hAnsi="Times New Roman"/>
          <w:color w:val="000000"/>
          <w:sz w:val="16"/>
          <w:szCs w:val="16"/>
        </w:rPr>
        <w:t>Authority: Health-General Article, §15-105.2(b), Annotated Code of Maryland</w:t>
      </w:r>
    </w:p>
    <w:p w:rsidR="008A2EE0" w:rsidRPr="008A2EE0" w:rsidRDefault="008A2EE0" w:rsidP="008A2EE0">
      <w:pPr>
        <w:spacing w:before="120" w:after="0" w:line="240" w:lineRule="auto"/>
        <w:jc w:val="center"/>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Notice of Proposed Action</w:t>
      </w:r>
    </w:p>
    <w:p w:rsidR="008A2EE0" w:rsidRPr="008A2EE0" w:rsidRDefault="008A2EE0" w:rsidP="008A2EE0">
      <w:pPr>
        <w:spacing w:before="40" w:after="40" w:line="240" w:lineRule="auto"/>
        <w:jc w:val="center"/>
        <w:rPr>
          <w:rFonts w:ascii="Times New Roman" w:eastAsia="Times New Roman" w:hAnsi="Times New Roman"/>
          <w:color w:val="000000"/>
          <w:sz w:val="16"/>
          <w:szCs w:val="16"/>
        </w:rPr>
      </w:pPr>
      <w:r w:rsidRPr="008A2EE0">
        <w:rPr>
          <w:rFonts w:ascii="Times New Roman" w:eastAsia="Times New Roman" w:hAnsi="Times New Roman"/>
          <w:color w:val="000000"/>
          <w:sz w:val="16"/>
          <w:szCs w:val="16"/>
        </w:rPr>
        <w:t>[19-105-P]</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The Secretary of Health proposes to amend Regulation </w:t>
      </w:r>
      <w:r w:rsidRPr="008A2EE0">
        <w:rPr>
          <w:rFonts w:ascii="Times New Roman" w:eastAsia="Times New Roman" w:hAnsi="Times New Roman"/>
          <w:b/>
          <w:bCs/>
          <w:color w:val="000000"/>
          <w:sz w:val="18"/>
          <w:szCs w:val="18"/>
        </w:rPr>
        <w:t>.02</w:t>
      </w:r>
      <w:r w:rsidRPr="008A2EE0">
        <w:rPr>
          <w:rFonts w:ascii="Times New Roman" w:eastAsia="Times New Roman" w:hAnsi="Times New Roman"/>
          <w:color w:val="000000"/>
          <w:sz w:val="18"/>
          <w:szCs w:val="18"/>
        </w:rPr>
        <w:t>, repeal existing Regulation </w:t>
      </w:r>
      <w:r w:rsidRPr="008A2EE0">
        <w:rPr>
          <w:rFonts w:ascii="Times New Roman" w:eastAsia="Times New Roman" w:hAnsi="Times New Roman"/>
          <w:b/>
          <w:bCs/>
          <w:color w:val="000000"/>
          <w:sz w:val="18"/>
          <w:szCs w:val="18"/>
        </w:rPr>
        <w:t>.03</w:t>
      </w:r>
      <w:r w:rsidRPr="008A2EE0">
        <w:rPr>
          <w:rFonts w:ascii="Times New Roman" w:eastAsia="Times New Roman" w:hAnsi="Times New Roman"/>
          <w:color w:val="000000"/>
          <w:sz w:val="18"/>
          <w:szCs w:val="18"/>
        </w:rPr>
        <w:t>, amend and recodify existing Regulations </w:t>
      </w:r>
      <w:r w:rsidRPr="008A2EE0">
        <w:rPr>
          <w:rFonts w:ascii="Times New Roman" w:eastAsia="Times New Roman" w:hAnsi="Times New Roman"/>
          <w:b/>
          <w:bCs/>
          <w:color w:val="000000"/>
          <w:sz w:val="18"/>
          <w:szCs w:val="18"/>
        </w:rPr>
        <w:t>.04</w:t>
      </w:r>
      <w:r w:rsidRPr="008A2EE0">
        <w:rPr>
          <w:rFonts w:ascii="Times New Roman" w:eastAsia="Times New Roman" w:hAnsi="Times New Roman"/>
          <w:color w:val="000000"/>
          <w:sz w:val="18"/>
          <w:szCs w:val="18"/>
        </w:rPr>
        <w:t>, </w:t>
      </w:r>
      <w:r w:rsidRPr="008A2EE0">
        <w:rPr>
          <w:rFonts w:ascii="Times New Roman" w:eastAsia="Times New Roman" w:hAnsi="Times New Roman"/>
          <w:b/>
          <w:bCs/>
          <w:color w:val="000000"/>
          <w:sz w:val="18"/>
          <w:szCs w:val="18"/>
        </w:rPr>
        <w:t>.05</w:t>
      </w:r>
      <w:r w:rsidRPr="008A2EE0">
        <w:rPr>
          <w:rFonts w:ascii="Times New Roman" w:eastAsia="Times New Roman" w:hAnsi="Times New Roman"/>
          <w:color w:val="000000"/>
          <w:sz w:val="18"/>
          <w:szCs w:val="18"/>
        </w:rPr>
        <w:t>, </w:t>
      </w:r>
      <w:r w:rsidRPr="008A2EE0">
        <w:rPr>
          <w:rFonts w:ascii="Times New Roman" w:eastAsia="Times New Roman" w:hAnsi="Times New Roman"/>
          <w:b/>
          <w:bCs/>
          <w:color w:val="000000"/>
          <w:sz w:val="18"/>
          <w:szCs w:val="18"/>
        </w:rPr>
        <w:t>.07</w:t>
      </w:r>
      <w:r w:rsidRPr="008A2EE0">
        <w:rPr>
          <w:rFonts w:ascii="Times New Roman" w:eastAsia="Times New Roman" w:hAnsi="Times New Roman"/>
          <w:color w:val="000000"/>
          <w:sz w:val="18"/>
          <w:szCs w:val="18"/>
        </w:rPr>
        <w:t>, </w:t>
      </w:r>
      <w:r w:rsidRPr="008A2EE0">
        <w:rPr>
          <w:rFonts w:ascii="Times New Roman" w:eastAsia="Times New Roman" w:hAnsi="Times New Roman"/>
          <w:b/>
          <w:bCs/>
          <w:color w:val="000000"/>
          <w:sz w:val="18"/>
          <w:szCs w:val="18"/>
        </w:rPr>
        <w:t>.10</w:t>
      </w:r>
      <w:r w:rsidRPr="008A2EE0">
        <w:rPr>
          <w:rFonts w:ascii="Times New Roman" w:eastAsia="Times New Roman" w:hAnsi="Times New Roman"/>
          <w:color w:val="000000"/>
          <w:sz w:val="18"/>
          <w:szCs w:val="18"/>
        </w:rPr>
        <w:t>, and .</w:t>
      </w:r>
      <w:r w:rsidRPr="008A2EE0">
        <w:rPr>
          <w:rFonts w:ascii="Times New Roman" w:eastAsia="Times New Roman" w:hAnsi="Times New Roman"/>
          <w:b/>
          <w:bCs/>
          <w:color w:val="000000"/>
          <w:sz w:val="18"/>
          <w:szCs w:val="18"/>
        </w:rPr>
        <w:t>11</w:t>
      </w:r>
      <w:r w:rsidRPr="008A2EE0">
        <w:rPr>
          <w:rFonts w:ascii="Times New Roman" w:eastAsia="Times New Roman" w:hAnsi="Times New Roman"/>
          <w:color w:val="000000"/>
          <w:sz w:val="18"/>
          <w:szCs w:val="18"/>
        </w:rPr>
        <w:t> to be Regulations </w:t>
      </w:r>
      <w:r w:rsidRPr="008A2EE0">
        <w:rPr>
          <w:rFonts w:ascii="Times New Roman" w:eastAsia="Times New Roman" w:hAnsi="Times New Roman"/>
          <w:b/>
          <w:bCs/>
          <w:color w:val="000000"/>
          <w:sz w:val="18"/>
          <w:szCs w:val="18"/>
        </w:rPr>
        <w:t>.03</w:t>
      </w:r>
      <w:r w:rsidRPr="008A2EE0">
        <w:rPr>
          <w:rFonts w:ascii="Times New Roman" w:eastAsia="Times New Roman" w:hAnsi="Times New Roman"/>
          <w:color w:val="000000"/>
          <w:sz w:val="18"/>
          <w:szCs w:val="18"/>
        </w:rPr>
        <w:t>, </w:t>
      </w:r>
      <w:r w:rsidRPr="008A2EE0">
        <w:rPr>
          <w:rFonts w:ascii="Times New Roman" w:eastAsia="Times New Roman" w:hAnsi="Times New Roman"/>
          <w:b/>
          <w:bCs/>
          <w:color w:val="000000"/>
          <w:sz w:val="18"/>
          <w:szCs w:val="18"/>
        </w:rPr>
        <w:t>.04</w:t>
      </w:r>
      <w:r w:rsidRPr="008A2EE0">
        <w:rPr>
          <w:rFonts w:ascii="Times New Roman" w:eastAsia="Times New Roman" w:hAnsi="Times New Roman"/>
          <w:color w:val="000000"/>
          <w:sz w:val="18"/>
          <w:szCs w:val="18"/>
        </w:rPr>
        <w:t>, </w:t>
      </w:r>
      <w:r w:rsidRPr="008A2EE0">
        <w:rPr>
          <w:rFonts w:ascii="Times New Roman" w:eastAsia="Times New Roman" w:hAnsi="Times New Roman"/>
          <w:b/>
          <w:bCs/>
          <w:color w:val="000000"/>
          <w:sz w:val="18"/>
          <w:szCs w:val="18"/>
        </w:rPr>
        <w:t>.06</w:t>
      </w:r>
      <w:r w:rsidRPr="008A2EE0">
        <w:rPr>
          <w:rFonts w:ascii="Times New Roman" w:eastAsia="Times New Roman" w:hAnsi="Times New Roman"/>
          <w:color w:val="000000"/>
          <w:sz w:val="18"/>
          <w:szCs w:val="18"/>
        </w:rPr>
        <w:t>, </w:t>
      </w:r>
      <w:r w:rsidRPr="008A2EE0">
        <w:rPr>
          <w:rFonts w:ascii="Times New Roman" w:eastAsia="Times New Roman" w:hAnsi="Times New Roman"/>
          <w:b/>
          <w:bCs/>
          <w:color w:val="000000"/>
          <w:sz w:val="18"/>
          <w:szCs w:val="18"/>
        </w:rPr>
        <w:t>.09</w:t>
      </w:r>
      <w:r w:rsidRPr="008A2EE0">
        <w:rPr>
          <w:rFonts w:ascii="Times New Roman" w:eastAsia="Times New Roman" w:hAnsi="Times New Roman"/>
          <w:color w:val="000000"/>
          <w:sz w:val="18"/>
          <w:szCs w:val="18"/>
        </w:rPr>
        <w:t>, and </w:t>
      </w:r>
      <w:r w:rsidRPr="008A2EE0">
        <w:rPr>
          <w:rFonts w:ascii="Times New Roman" w:eastAsia="Times New Roman" w:hAnsi="Times New Roman"/>
          <w:b/>
          <w:bCs/>
          <w:color w:val="000000"/>
          <w:sz w:val="18"/>
          <w:szCs w:val="18"/>
        </w:rPr>
        <w:t>.10</w:t>
      </w:r>
      <w:r w:rsidRPr="008A2EE0">
        <w:rPr>
          <w:rFonts w:ascii="Times New Roman" w:eastAsia="Times New Roman" w:hAnsi="Times New Roman"/>
          <w:color w:val="000000"/>
          <w:sz w:val="18"/>
          <w:szCs w:val="18"/>
        </w:rPr>
        <w:t>, respectively, and recodify existing Regulations </w:t>
      </w:r>
      <w:r w:rsidRPr="008A2EE0">
        <w:rPr>
          <w:rFonts w:ascii="Times New Roman" w:eastAsia="Times New Roman" w:hAnsi="Times New Roman"/>
          <w:b/>
          <w:bCs/>
          <w:color w:val="000000"/>
          <w:sz w:val="18"/>
          <w:szCs w:val="18"/>
        </w:rPr>
        <w:t>.06</w:t>
      </w:r>
      <w:r w:rsidRPr="008A2EE0">
        <w:rPr>
          <w:rFonts w:ascii="Times New Roman" w:eastAsia="Times New Roman" w:hAnsi="Times New Roman"/>
          <w:color w:val="000000"/>
          <w:sz w:val="18"/>
          <w:szCs w:val="18"/>
        </w:rPr>
        <w:t>, </w:t>
      </w:r>
      <w:r w:rsidRPr="008A2EE0">
        <w:rPr>
          <w:rFonts w:ascii="Times New Roman" w:eastAsia="Times New Roman" w:hAnsi="Times New Roman"/>
          <w:b/>
          <w:bCs/>
          <w:color w:val="000000"/>
          <w:sz w:val="18"/>
          <w:szCs w:val="18"/>
        </w:rPr>
        <w:t>.08</w:t>
      </w:r>
      <w:r w:rsidRPr="008A2EE0">
        <w:rPr>
          <w:rFonts w:ascii="Times New Roman" w:eastAsia="Times New Roman" w:hAnsi="Times New Roman"/>
          <w:color w:val="000000"/>
          <w:sz w:val="18"/>
          <w:szCs w:val="18"/>
        </w:rPr>
        <w:t>, and </w:t>
      </w:r>
      <w:r w:rsidRPr="008A2EE0">
        <w:rPr>
          <w:rFonts w:ascii="Times New Roman" w:eastAsia="Times New Roman" w:hAnsi="Times New Roman"/>
          <w:b/>
          <w:bCs/>
          <w:color w:val="000000"/>
          <w:sz w:val="18"/>
          <w:szCs w:val="18"/>
        </w:rPr>
        <w:t>.09</w:t>
      </w:r>
      <w:r w:rsidRPr="008A2EE0">
        <w:rPr>
          <w:rFonts w:ascii="Times New Roman" w:eastAsia="Times New Roman" w:hAnsi="Times New Roman"/>
          <w:color w:val="000000"/>
          <w:sz w:val="18"/>
          <w:szCs w:val="18"/>
        </w:rPr>
        <w:t> to be Regulations </w:t>
      </w:r>
      <w:r w:rsidRPr="008A2EE0">
        <w:rPr>
          <w:rFonts w:ascii="Times New Roman" w:eastAsia="Times New Roman" w:hAnsi="Times New Roman"/>
          <w:b/>
          <w:bCs/>
          <w:color w:val="000000"/>
          <w:sz w:val="18"/>
          <w:szCs w:val="18"/>
        </w:rPr>
        <w:t>.05</w:t>
      </w:r>
      <w:r w:rsidRPr="008A2EE0">
        <w:rPr>
          <w:rFonts w:ascii="Times New Roman" w:eastAsia="Times New Roman" w:hAnsi="Times New Roman"/>
          <w:color w:val="000000"/>
          <w:sz w:val="18"/>
          <w:szCs w:val="18"/>
        </w:rPr>
        <w:t>, </w:t>
      </w:r>
      <w:r w:rsidRPr="008A2EE0">
        <w:rPr>
          <w:rFonts w:ascii="Times New Roman" w:eastAsia="Times New Roman" w:hAnsi="Times New Roman"/>
          <w:b/>
          <w:bCs/>
          <w:color w:val="000000"/>
          <w:sz w:val="18"/>
          <w:szCs w:val="18"/>
        </w:rPr>
        <w:t>.07</w:t>
      </w:r>
      <w:r w:rsidRPr="008A2EE0">
        <w:rPr>
          <w:rFonts w:ascii="Times New Roman" w:eastAsia="Times New Roman" w:hAnsi="Times New Roman"/>
          <w:color w:val="000000"/>
          <w:sz w:val="18"/>
          <w:szCs w:val="18"/>
        </w:rPr>
        <w:t>, and </w:t>
      </w:r>
      <w:r w:rsidRPr="008A2EE0">
        <w:rPr>
          <w:rFonts w:ascii="Times New Roman" w:eastAsia="Times New Roman" w:hAnsi="Times New Roman"/>
          <w:b/>
          <w:bCs/>
          <w:color w:val="000000"/>
          <w:sz w:val="18"/>
          <w:szCs w:val="18"/>
        </w:rPr>
        <w:t>.08</w:t>
      </w:r>
      <w:r w:rsidRPr="008A2EE0">
        <w:rPr>
          <w:rFonts w:ascii="Times New Roman" w:eastAsia="Times New Roman" w:hAnsi="Times New Roman"/>
          <w:color w:val="000000"/>
          <w:sz w:val="18"/>
          <w:szCs w:val="18"/>
        </w:rPr>
        <w:t>, respectively, under </w:t>
      </w:r>
      <w:r w:rsidRPr="008A2EE0">
        <w:rPr>
          <w:rFonts w:ascii="Times New Roman" w:eastAsia="Times New Roman" w:hAnsi="Times New Roman"/>
          <w:b/>
          <w:bCs/>
          <w:color w:val="000000"/>
          <w:sz w:val="18"/>
          <w:szCs w:val="18"/>
        </w:rPr>
        <w:t>COMAR 10.09.49 Telehealth Services</w:t>
      </w:r>
      <w:r w:rsidRPr="008A2EE0">
        <w:rPr>
          <w:rFonts w:ascii="Times New Roman" w:eastAsia="Times New Roman" w:hAnsi="Times New Roman"/>
          <w:color w:val="000000"/>
          <w:sz w:val="18"/>
          <w:szCs w:val="18"/>
        </w:rPr>
        <w:t>.</w:t>
      </w:r>
    </w:p>
    <w:p w:rsidR="008A2EE0" w:rsidRPr="008A2EE0" w:rsidRDefault="008A2EE0" w:rsidP="008A2EE0">
      <w:pPr>
        <w:spacing w:before="120" w:after="0" w:line="240" w:lineRule="auto"/>
        <w:jc w:val="center"/>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Statement of Purpose</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The purpose of this action is to allow any and all provider types to receive reimbursement for services rendered via telehealth if the provider’s professional licensing board includes telehealth in its scope of practice. Additionally, this proposal aligns the delivery of telehealth services to that of services delivered in-person by removing the telehealth transmission fee that functions as an enhanced reimbursement for services delivered.</w:t>
      </w:r>
    </w:p>
    <w:p w:rsidR="008A2EE0" w:rsidRPr="008A2EE0" w:rsidRDefault="008A2EE0" w:rsidP="008A2EE0">
      <w:pPr>
        <w:spacing w:before="120" w:after="0" w:line="240" w:lineRule="auto"/>
        <w:jc w:val="center"/>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Comparison to Federal Standards</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There is no corresponding federal standard to this proposed action.</w:t>
      </w:r>
    </w:p>
    <w:p w:rsidR="008A2EE0" w:rsidRPr="008A2EE0" w:rsidRDefault="008A2EE0" w:rsidP="008A2EE0">
      <w:pPr>
        <w:spacing w:before="120" w:after="0" w:line="240" w:lineRule="auto"/>
        <w:jc w:val="center"/>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Estimate of Economic Impact</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I. Summary of Economic Impact. </w:t>
      </w:r>
      <w:r w:rsidRPr="008A2EE0">
        <w:rPr>
          <w:rFonts w:ascii="Times New Roman" w:eastAsia="Times New Roman" w:hAnsi="Times New Roman"/>
          <w:color w:val="000000"/>
          <w:sz w:val="18"/>
          <w:szCs w:val="18"/>
        </w:rPr>
        <w:t>The economic impact of the proposed amendment is indeterminable. The Department will save money by removing the originating site transmission fee. However, the proposed changes also expand the types of providers who may render services via telehealth. While this expansion improves access to preventive care and will likely result in reduced hospitalization and demand for emergency department services over time, increased utilization of care resulting from the expansion of the types of providers who may render services via telehealth may offset cost savings incurred through removal of the transmission fee. Furthermore, the Department is unable to estimate potential increases in utilization of care that may result from expanding the types of providers who may render services via telehealth.</w:t>
      </w:r>
    </w:p>
    <w:p w:rsidR="008A2EE0" w:rsidRPr="008A2EE0" w:rsidRDefault="008A2EE0" w:rsidP="008A2EE0">
      <w:pPr>
        <w:spacing w:after="0" w:line="240" w:lineRule="auto"/>
        <w:jc w:val="both"/>
        <w:rPr>
          <w:rFonts w:ascii="Times New Roman" w:eastAsia="Times New Roman" w:hAnsi="Times New Roman"/>
          <w:color w:val="000000"/>
          <w:sz w:val="18"/>
          <w:szCs w:val="18"/>
        </w:rPr>
      </w:pPr>
      <w:r w:rsidRPr="008A2EE0">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3910"/>
        <w:gridCol w:w="2576"/>
        <w:gridCol w:w="2874"/>
      </w:tblGrid>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Revenue (R+/R-)</w:t>
            </w: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 </w:t>
            </w: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ind w:firstLine="216"/>
              <w:rPr>
                <w:rFonts w:ascii="Times New Roman" w:eastAsia="Times New Roman" w:hAnsi="Times New Roman"/>
                <w:sz w:val="18"/>
                <w:szCs w:val="18"/>
              </w:rPr>
            </w:pPr>
            <w:r w:rsidRPr="008A2EE0">
              <w:rPr>
                <w:rFonts w:ascii="Times New Roman" w:eastAsia="Times New Roman" w:hAnsi="Times New Roman"/>
                <w:b/>
                <w:bCs/>
                <w:sz w:val="18"/>
                <w:szCs w:val="18"/>
              </w:rPr>
              <w:t>II. Types of Economic Impact.</w:t>
            </w: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Expenditure (E+/E-)</w:t>
            </w: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Magnitude</w:t>
            </w: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New Roman" w:eastAsia="Times New Roman" w:hAnsi="Times New Roman"/>
                <w:sz w:val="18"/>
                <w:szCs w:val="18"/>
              </w:rPr>
              <w:pict>
                <v:rect id="_x0000_i1025" style="width:468pt;height:1.5pt" o:hrstd="t" o:hrnoshade="t" o:hr="t" fillcolor="black" stroked="f"/>
              </w:pict>
            </w: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20"/>
                <w:szCs w:val="20"/>
              </w:rPr>
            </w:pP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ind w:firstLine="216"/>
              <w:rPr>
                <w:rFonts w:ascii="Times New Roman" w:eastAsia="Times New Roman" w:hAnsi="Times New Roman"/>
                <w:sz w:val="18"/>
                <w:szCs w:val="18"/>
              </w:rPr>
            </w:pPr>
            <w:r w:rsidRPr="008A2EE0">
              <w:rPr>
                <w:rFonts w:ascii="Times New Roman" w:eastAsia="Times New Roman" w:hAnsi="Times New Roman"/>
                <w:sz w:val="18"/>
                <w:szCs w:val="18"/>
              </w:rPr>
              <w:t>A. On issuing agency:</w:t>
            </w: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(E-)</w:t>
            </w: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Indeterminable</w:t>
            </w: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ind w:firstLine="216"/>
              <w:rPr>
                <w:rFonts w:ascii="Times New Roman" w:eastAsia="Times New Roman" w:hAnsi="Times New Roman"/>
                <w:sz w:val="18"/>
                <w:szCs w:val="18"/>
              </w:rPr>
            </w:pPr>
            <w:r w:rsidRPr="008A2EE0">
              <w:rPr>
                <w:rFonts w:ascii="Times New Roman" w:eastAsia="Times New Roman" w:hAnsi="Times New Roman"/>
                <w:sz w:val="18"/>
                <w:szCs w:val="18"/>
              </w:rPr>
              <w:t>B. On other State agencies:</w:t>
            </w: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ind w:firstLine="216"/>
              <w:rPr>
                <w:rFonts w:ascii="Times New Roman" w:eastAsia="Times New Roman" w:hAnsi="Times New Roman"/>
                <w:sz w:val="18"/>
                <w:szCs w:val="18"/>
              </w:rPr>
            </w:pPr>
            <w:r w:rsidRPr="008A2EE0">
              <w:rPr>
                <w:rFonts w:ascii="Times New Roman" w:eastAsia="Times New Roman" w:hAnsi="Times New Roman"/>
                <w:sz w:val="18"/>
                <w:szCs w:val="18"/>
              </w:rPr>
              <w:t>C. On local governments:</w:t>
            </w: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p>
        </w:tc>
      </w:tr>
      <w:tr w:rsidR="008A2EE0" w:rsidRPr="008A2EE0" w:rsidTr="008A2EE0">
        <w:trPr>
          <w:tblCellSpacing w:w="15" w:type="dxa"/>
        </w:trPr>
        <w:tc>
          <w:tcPr>
            <w:tcW w:w="4900" w:type="pct"/>
            <w:gridSpan w:val="3"/>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New Roman" w:eastAsia="Times New Roman" w:hAnsi="Times New Roman"/>
                <w:sz w:val="18"/>
                <w:szCs w:val="18"/>
              </w:rPr>
              <w:t> </w:t>
            </w: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Benefit (+)</w:t>
            </w:r>
            <w:r w:rsidRPr="008A2EE0">
              <w:rPr>
                <w:rFonts w:ascii="Times" w:eastAsia="Times New Roman" w:hAnsi="Times" w:cs="Times"/>
                <w:color w:val="000000"/>
                <w:sz w:val="18"/>
                <w:szCs w:val="18"/>
              </w:rPr>
              <w:br/>
              <w:t>Cost (-)</w:t>
            </w: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Magnitude</w:t>
            </w: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New Roman" w:eastAsia="Times New Roman" w:hAnsi="Times New Roman"/>
                <w:sz w:val="18"/>
                <w:szCs w:val="18"/>
              </w:rPr>
              <w:pict>
                <v:rect id="_x0000_i1026" style="width:468pt;height:1.5pt" o:hrstd="t" o:hrnoshade="t" o:hr="t" fillcolor="black" stroked="f"/>
              </w:pict>
            </w: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20"/>
                <w:szCs w:val="20"/>
              </w:rPr>
            </w:pP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ind w:firstLine="216"/>
              <w:rPr>
                <w:rFonts w:ascii="Times New Roman" w:eastAsia="Times New Roman" w:hAnsi="Times New Roman"/>
                <w:sz w:val="18"/>
                <w:szCs w:val="18"/>
              </w:rPr>
            </w:pPr>
            <w:r w:rsidRPr="008A2EE0">
              <w:rPr>
                <w:rFonts w:ascii="Times New Roman" w:eastAsia="Times New Roman" w:hAnsi="Times New Roman"/>
                <w:sz w:val="18"/>
                <w:szCs w:val="18"/>
              </w:rPr>
              <w:t>D. On regulated industries or trade groups:</w:t>
            </w: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ind w:firstLine="216"/>
              <w:rPr>
                <w:rFonts w:ascii="Times New Roman" w:eastAsia="Times New Roman" w:hAnsi="Times New Roman"/>
                <w:sz w:val="18"/>
                <w:szCs w:val="18"/>
              </w:rPr>
            </w:pPr>
            <w:r w:rsidRPr="008A2EE0">
              <w:rPr>
                <w:rFonts w:ascii="Times New Roman" w:eastAsia="Times New Roman" w:hAnsi="Times New Roman"/>
                <w:sz w:val="18"/>
                <w:szCs w:val="18"/>
              </w:rPr>
              <w:t>E. On other industries or trade groups:</w:t>
            </w: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p>
        </w:tc>
      </w:tr>
      <w:tr w:rsidR="008A2EE0" w:rsidRPr="008A2EE0" w:rsidTr="008A2EE0">
        <w:trPr>
          <w:tblCellSpacing w:w="15" w:type="dxa"/>
        </w:trPr>
        <w:tc>
          <w:tcPr>
            <w:tcW w:w="2050" w:type="pct"/>
            <w:tcMar>
              <w:top w:w="15" w:type="dxa"/>
              <w:left w:w="15" w:type="dxa"/>
              <w:bottom w:w="15" w:type="dxa"/>
              <w:right w:w="15" w:type="dxa"/>
            </w:tcMar>
            <w:vAlign w:val="bottom"/>
            <w:hideMark/>
          </w:tcPr>
          <w:p w:rsidR="008A2EE0" w:rsidRPr="008A2EE0" w:rsidRDefault="008A2EE0" w:rsidP="008A2EE0">
            <w:pPr>
              <w:spacing w:after="0" w:line="240" w:lineRule="auto"/>
              <w:ind w:firstLine="216"/>
              <w:rPr>
                <w:rFonts w:ascii="Times New Roman" w:eastAsia="Times New Roman" w:hAnsi="Times New Roman"/>
                <w:sz w:val="18"/>
                <w:szCs w:val="18"/>
              </w:rPr>
            </w:pPr>
            <w:r w:rsidRPr="008A2EE0">
              <w:rPr>
                <w:rFonts w:ascii="Times New Roman" w:eastAsia="Times New Roman" w:hAnsi="Times New Roman"/>
                <w:sz w:val="18"/>
                <w:szCs w:val="18"/>
              </w:rPr>
              <w:t>F. Direct and indirect effects on public:</w:t>
            </w:r>
          </w:p>
        </w:tc>
        <w:tc>
          <w:tcPr>
            <w:tcW w:w="135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r w:rsidRPr="008A2EE0">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rsidR="008A2EE0" w:rsidRPr="008A2EE0" w:rsidRDefault="008A2EE0" w:rsidP="008A2EE0">
            <w:pPr>
              <w:spacing w:after="0" w:line="240" w:lineRule="auto"/>
              <w:rPr>
                <w:rFonts w:ascii="Times New Roman" w:eastAsia="Times New Roman" w:hAnsi="Times New Roman"/>
                <w:sz w:val="18"/>
                <w:szCs w:val="18"/>
              </w:rPr>
            </w:pPr>
          </w:p>
        </w:tc>
      </w:tr>
      <w:tr w:rsidR="008A2EE0" w:rsidRPr="008A2EE0" w:rsidTr="008A2EE0">
        <w:trPr>
          <w:tblCellSpacing w:w="15" w:type="dxa"/>
        </w:trPr>
        <w:tc>
          <w:tcPr>
            <w:tcW w:w="4900" w:type="pct"/>
            <w:gridSpan w:val="3"/>
            <w:tcMar>
              <w:top w:w="15" w:type="dxa"/>
              <w:left w:w="15" w:type="dxa"/>
              <w:bottom w:w="15" w:type="dxa"/>
              <w:right w:w="15" w:type="dxa"/>
            </w:tcMar>
            <w:vAlign w:val="bottom"/>
            <w:hideMark/>
          </w:tcPr>
          <w:p w:rsidR="008A2EE0" w:rsidRPr="008A2EE0" w:rsidRDefault="008A2EE0" w:rsidP="008A2EE0">
            <w:pPr>
              <w:spacing w:after="0" w:line="240" w:lineRule="auto"/>
              <w:ind w:firstLine="216"/>
              <w:jc w:val="both"/>
              <w:rPr>
                <w:rFonts w:ascii="Times New Roman" w:eastAsia="Times New Roman" w:hAnsi="Times New Roman"/>
                <w:sz w:val="18"/>
                <w:szCs w:val="18"/>
              </w:rPr>
            </w:pPr>
            <w:r w:rsidRPr="008A2EE0">
              <w:rPr>
                <w:rFonts w:ascii="Times New Roman" w:eastAsia="Times New Roman" w:hAnsi="Times New Roman"/>
                <w:b/>
                <w:bCs/>
                <w:sz w:val="18"/>
                <w:szCs w:val="18"/>
              </w:rPr>
              <w:t>III. Assumptions.</w:t>
            </w:r>
            <w:r w:rsidRPr="008A2EE0">
              <w:rPr>
                <w:rFonts w:ascii="Times New Roman" w:eastAsia="Times New Roman" w:hAnsi="Times New Roman"/>
                <w:sz w:val="18"/>
                <w:szCs w:val="18"/>
              </w:rPr>
              <w:t> (Identified by Impact Letter and Number from Section II.)</w:t>
            </w:r>
          </w:p>
        </w:tc>
      </w:tr>
      <w:tr w:rsidR="008A2EE0" w:rsidRPr="008A2EE0" w:rsidTr="008A2EE0">
        <w:trPr>
          <w:tblCellSpacing w:w="15" w:type="dxa"/>
        </w:trPr>
        <w:tc>
          <w:tcPr>
            <w:tcW w:w="4900" w:type="pct"/>
            <w:gridSpan w:val="3"/>
            <w:tcMar>
              <w:top w:w="15" w:type="dxa"/>
              <w:left w:w="15" w:type="dxa"/>
              <w:bottom w:w="15" w:type="dxa"/>
              <w:right w:w="15" w:type="dxa"/>
            </w:tcMar>
            <w:vAlign w:val="bottom"/>
            <w:hideMark/>
          </w:tcPr>
          <w:p w:rsidR="008A2EE0" w:rsidRPr="008A2EE0" w:rsidRDefault="008A2EE0" w:rsidP="008A2EE0">
            <w:pPr>
              <w:spacing w:after="0" w:line="240" w:lineRule="auto"/>
              <w:ind w:firstLine="216"/>
              <w:jc w:val="both"/>
              <w:rPr>
                <w:rFonts w:ascii="Times New Roman" w:eastAsia="Times New Roman" w:hAnsi="Times New Roman"/>
                <w:sz w:val="18"/>
                <w:szCs w:val="18"/>
              </w:rPr>
            </w:pPr>
            <w:r w:rsidRPr="008A2EE0">
              <w:rPr>
                <w:rFonts w:ascii="Times New Roman" w:eastAsia="Times New Roman" w:hAnsi="Times New Roman"/>
                <w:sz w:val="18"/>
                <w:szCs w:val="18"/>
              </w:rPr>
              <w:t>A. The economic impact of the proposed amendment is indeterminable because while the Department will save money by eliminating the originating site transmission fee, it is unable to estimate potential increases in utilization of care that may result from expanding the types of providers who may render services via telehealth.</w:t>
            </w:r>
          </w:p>
        </w:tc>
      </w:tr>
    </w:tbl>
    <w:p w:rsidR="008A2EE0" w:rsidRPr="008A2EE0" w:rsidRDefault="008A2EE0" w:rsidP="008A2EE0">
      <w:pPr>
        <w:spacing w:before="120" w:after="0" w:line="240" w:lineRule="auto"/>
        <w:jc w:val="center"/>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Economic Impact on Small Businesses</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lastRenderedPageBreak/>
        <w:t>The proposed action has minimal or no economic impact on small businesses.</w:t>
      </w:r>
    </w:p>
    <w:p w:rsidR="008A2EE0" w:rsidRPr="008A2EE0" w:rsidRDefault="008A2EE0" w:rsidP="008A2EE0">
      <w:pPr>
        <w:spacing w:before="120" w:after="0" w:line="240" w:lineRule="auto"/>
        <w:jc w:val="center"/>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Impact on Individuals with Disabilities</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The proposed action has no impact on individuals with disabilities.</w:t>
      </w:r>
    </w:p>
    <w:p w:rsidR="008A2EE0" w:rsidRPr="008A2EE0" w:rsidRDefault="008A2EE0" w:rsidP="008A2EE0">
      <w:pPr>
        <w:spacing w:before="120" w:after="0" w:line="240" w:lineRule="auto"/>
        <w:jc w:val="center"/>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 </w:t>
      </w:r>
    </w:p>
    <w:p w:rsidR="008A2EE0" w:rsidRPr="008A2EE0" w:rsidRDefault="008A2EE0" w:rsidP="008A2EE0">
      <w:pPr>
        <w:spacing w:before="120" w:after="0" w:line="240" w:lineRule="auto"/>
        <w:jc w:val="center"/>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Opportunity for Public Comment</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July 8, 2019. A public hearing has not been scheduled.</w:t>
      </w:r>
    </w:p>
    <w:p w:rsidR="008A2EE0" w:rsidRPr="008A2EE0" w:rsidRDefault="008A2EE0" w:rsidP="008A2EE0">
      <w:pPr>
        <w:spacing w:before="140" w:after="0" w:line="240" w:lineRule="auto"/>
        <w:ind w:left="533" w:hanging="533"/>
        <w:jc w:val="both"/>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.02 Definitions.</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A. (text unchanged)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B. Terms Defined.</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(1)</w:t>
      </w:r>
      <w:proofErr w:type="gramStart"/>
      <w:r w:rsidRPr="008A2EE0">
        <w:rPr>
          <w:rFonts w:ascii="Times New Roman" w:eastAsia="Times New Roman" w:hAnsi="Times New Roman"/>
          <w:color w:val="000000"/>
          <w:sz w:val="18"/>
          <w:szCs w:val="18"/>
        </w:rPr>
        <w:t>—(</w:t>
      </w:r>
      <w:proofErr w:type="gramEnd"/>
      <w:r w:rsidRPr="008A2EE0">
        <w:rPr>
          <w:rFonts w:ascii="Times New Roman" w:eastAsia="Times New Roman" w:hAnsi="Times New Roman"/>
          <w:color w:val="000000"/>
          <w:sz w:val="18"/>
          <w:szCs w:val="18"/>
        </w:rPr>
        <w:t>3) (text unchanged)</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(4) “Distant site” means a site </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registered with the Department to provide telehealth services,</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 at which the licensed distant site provider is located at the time the service is provided via technology-assisted communication.</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(5)</w:t>
      </w:r>
      <w:proofErr w:type="gramStart"/>
      <w:r w:rsidRPr="008A2EE0">
        <w:rPr>
          <w:rFonts w:ascii="Times New Roman" w:eastAsia="Times New Roman" w:hAnsi="Times New Roman"/>
          <w:color w:val="000000"/>
          <w:sz w:val="18"/>
          <w:szCs w:val="18"/>
        </w:rPr>
        <w:t>—(</w:t>
      </w:r>
      <w:proofErr w:type="gramEnd"/>
      <w:r w:rsidRPr="008A2EE0">
        <w:rPr>
          <w:rFonts w:ascii="Times New Roman" w:eastAsia="Times New Roman" w:hAnsi="Times New Roman"/>
          <w:color w:val="000000"/>
          <w:sz w:val="18"/>
          <w:szCs w:val="18"/>
        </w:rPr>
        <w:t>9) (text unchanged)</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 xml:space="preserve">(10) “Originating site” means the location of an eligible Medicaid participant at the time the service being furnished via technology-assisted communication </w:t>
      </w:r>
      <w:proofErr w:type="gramStart"/>
      <w:r w:rsidRPr="008A2EE0">
        <w:rPr>
          <w:rFonts w:ascii="Times New Roman" w:eastAsia="Times New Roman" w:hAnsi="Times New Roman"/>
          <w:color w:val="000000"/>
          <w:sz w:val="18"/>
          <w:szCs w:val="18"/>
        </w:rPr>
        <w:t>occurs</w:t>
      </w:r>
      <w:r w:rsidRPr="008A2EE0">
        <w:rPr>
          <w:rFonts w:ascii="Times New Roman" w:eastAsia="Times New Roman" w:hAnsi="Times New Roman"/>
          <w:b/>
          <w:bCs/>
          <w:color w:val="000000"/>
          <w:sz w:val="18"/>
          <w:szCs w:val="18"/>
        </w:rPr>
        <w:t>[</w:t>
      </w:r>
      <w:proofErr w:type="gramEnd"/>
      <w:r w:rsidRPr="008A2EE0">
        <w:rPr>
          <w:rFonts w:ascii="Times New Roman" w:eastAsia="Times New Roman" w:hAnsi="Times New Roman"/>
          <w:color w:val="000000"/>
          <w:sz w:val="18"/>
          <w:szCs w:val="18"/>
        </w:rPr>
        <w:t>, which is a site registered with the Department to provide telehealth services</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(11)</w:t>
      </w:r>
      <w:proofErr w:type="gramStart"/>
      <w:r w:rsidRPr="008A2EE0">
        <w:rPr>
          <w:rFonts w:ascii="Times New Roman" w:eastAsia="Times New Roman" w:hAnsi="Times New Roman"/>
          <w:color w:val="000000"/>
          <w:sz w:val="18"/>
          <w:szCs w:val="18"/>
        </w:rPr>
        <w:t>—(</w:t>
      </w:r>
      <w:proofErr w:type="gramEnd"/>
      <w:r w:rsidRPr="008A2EE0">
        <w:rPr>
          <w:rFonts w:ascii="Times New Roman" w:eastAsia="Times New Roman" w:hAnsi="Times New Roman"/>
          <w:color w:val="000000"/>
          <w:sz w:val="18"/>
          <w:szCs w:val="18"/>
        </w:rPr>
        <w:t>19) (text unchanged)</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b/>
          <w:bCs/>
          <w:color w:val="000000"/>
          <w:spacing w:val="-2"/>
          <w:sz w:val="18"/>
          <w:szCs w:val="18"/>
        </w:rPr>
        <w:t>[</w:t>
      </w:r>
      <w:r w:rsidRPr="008A2EE0">
        <w:rPr>
          <w:rFonts w:ascii="Times New Roman" w:eastAsia="Times New Roman" w:hAnsi="Times New Roman"/>
          <w:color w:val="000000"/>
          <w:spacing w:val="-2"/>
          <w:sz w:val="18"/>
          <w:szCs w:val="18"/>
        </w:rPr>
        <w:t>(20) “Transmission fee” means the amount the Department reimburses a registered originating site for the telehealth transmission.</w:t>
      </w:r>
      <w:r w:rsidRPr="008A2EE0">
        <w:rPr>
          <w:rFonts w:ascii="Times New Roman" w:eastAsia="Times New Roman" w:hAnsi="Times New Roman"/>
          <w:b/>
          <w:bCs/>
          <w:color w:val="000000"/>
          <w:spacing w:val="-2"/>
          <w:sz w:val="18"/>
          <w:szCs w:val="18"/>
        </w:rPr>
        <w:t>]</w:t>
      </w:r>
    </w:p>
    <w:p w:rsidR="008A2EE0" w:rsidRPr="008A2EE0" w:rsidRDefault="008A2EE0" w:rsidP="008A2EE0">
      <w:pPr>
        <w:spacing w:before="140" w:after="0" w:line="240" w:lineRule="auto"/>
        <w:ind w:left="533" w:hanging="533"/>
        <w:jc w:val="both"/>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[.04] </w:t>
      </w:r>
      <w:r w:rsidRPr="008A2EE0">
        <w:rPr>
          <w:rFonts w:ascii="Times New Roman" w:eastAsia="Times New Roman" w:hAnsi="Times New Roman"/>
          <w:b/>
          <w:bCs/>
          <w:i/>
          <w:iCs/>
          <w:color w:val="000000"/>
          <w:sz w:val="18"/>
          <w:szCs w:val="18"/>
        </w:rPr>
        <w:t>.03</w:t>
      </w:r>
      <w:r w:rsidRPr="008A2EE0">
        <w:rPr>
          <w:rFonts w:ascii="Times New Roman" w:eastAsia="Times New Roman" w:hAnsi="Times New Roman"/>
          <w:b/>
          <w:bCs/>
          <w:color w:val="000000"/>
          <w:sz w:val="18"/>
          <w:szCs w:val="18"/>
        </w:rPr>
        <w:t> Service Model.</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A.—B. (text unchanged)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C. Medical Assistance-registered originating site providers shall engage in agreements with registered distant site providers for telehealth services.</w:t>
      </w:r>
      <w:r w:rsidRPr="008A2EE0">
        <w:rPr>
          <w:rFonts w:ascii="Times New Roman" w:eastAsia="Times New Roman" w:hAnsi="Times New Roman"/>
          <w:b/>
          <w:bCs/>
          <w:color w:val="000000"/>
          <w:sz w:val="18"/>
          <w:szCs w:val="18"/>
        </w:rPr>
        <w:t>]</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D.</w:t>
      </w:r>
      <w:r w:rsidRPr="008A2EE0">
        <w:rPr>
          <w:rFonts w:ascii="Times New Roman" w:eastAsia="Times New Roman" w:hAnsi="Times New Roman"/>
          <w:b/>
          <w:bCs/>
          <w:color w:val="000000"/>
          <w:sz w:val="18"/>
          <w:szCs w:val="18"/>
        </w:rPr>
        <w:t>] </w:t>
      </w:r>
      <w:r w:rsidRPr="008A2EE0">
        <w:rPr>
          <w:rFonts w:ascii="Times New Roman" w:eastAsia="Times New Roman" w:hAnsi="Times New Roman"/>
          <w:i/>
          <w:iCs/>
          <w:color w:val="000000"/>
          <w:sz w:val="18"/>
          <w:szCs w:val="18"/>
        </w:rPr>
        <w:t>C.</w:t>
      </w:r>
      <w:r w:rsidRPr="008A2EE0">
        <w:rPr>
          <w:rFonts w:ascii="Times New Roman" w:eastAsia="Times New Roman" w:hAnsi="Times New Roman"/>
          <w:color w:val="000000"/>
          <w:sz w:val="18"/>
          <w:szCs w:val="18"/>
        </w:rPr>
        <w:t> (text unchanged)</w:t>
      </w:r>
    </w:p>
    <w:p w:rsidR="008A2EE0" w:rsidRPr="008A2EE0" w:rsidRDefault="008A2EE0" w:rsidP="008A2EE0">
      <w:pPr>
        <w:spacing w:before="140" w:after="0" w:line="240" w:lineRule="auto"/>
        <w:ind w:left="533" w:hanging="533"/>
        <w:jc w:val="both"/>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[.05] </w:t>
      </w:r>
      <w:r w:rsidRPr="008A2EE0">
        <w:rPr>
          <w:rFonts w:ascii="Times New Roman" w:eastAsia="Times New Roman" w:hAnsi="Times New Roman"/>
          <w:b/>
          <w:bCs/>
          <w:i/>
          <w:iCs/>
          <w:color w:val="000000"/>
          <w:sz w:val="18"/>
          <w:szCs w:val="18"/>
        </w:rPr>
        <w:t>.04</w:t>
      </w:r>
      <w:r w:rsidRPr="008A2EE0">
        <w:rPr>
          <w:rFonts w:ascii="Times New Roman" w:eastAsia="Times New Roman" w:hAnsi="Times New Roman"/>
          <w:b/>
          <w:bCs/>
          <w:color w:val="000000"/>
          <w:sz w:val="18"/>
          <w:szCs w:val="18"/>
        </w:rPr>
        <w:t> Covered Services.</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Under the Telehealth Program, the Department shall cover:</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A. Medically necessary services covered by the Maryland Medical Assistance Program rendered by a</w:t>
      </w:r>
      <w:r w:rsidRPr="008A2EE0">
        <w:rPr>
          <w:rFonts w:ascii="Times New Roman" w:eastAsia="Times New Roman" w:hAnsi="Times New Roman"/>
          <w:b/>
          <w:bCs/>
          <w:color w:val="000000"/>
          <w:sz w:val="18"/>
          <w:szCs w:val="18"/>
        </w:rPr>
        <w:t> [</w:t>
      </w:r>
      <w:r w:rsidRPr="008A2EE0">
        <w:rPr>
          <w:rFonts w:ascii="Times New Roman" w:eastAsia="Times New Roman" w:hAnsi="Times New Roman"/>
          <w:color w:val="000000"/>
          <w:sz w:val="18"/>
          <w:szCs w:val="18"/>
        </w:rPr>
        <w:t>registered</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 distant site provider that shall be:</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(1)</w:t>
      </w:r>
      <w:proofErr w:type="gramStart"/>
      <w:r w:rsidRPr="008A2EE0">
        <w:rPr>
          <w:rFonts w:ascii="Times New Roman" w:eastAsia="Times New Roman" w:hAnsi="Times New Roman"/>
          <w:color w:val="000000"/>
          <w:sz w:val="18"/>
          <w:szCs w:val="18"/>
        </w:rPr>
        <w:t>—(</w:t>
      </w:r>
      <w:proofErr w:type="gramEnd"/>
      <w:r w:rsidRPr="008A2EE0">
        <w:rPr>
          <w:rFonts w:ascii="Times New Roman" w:eastAsia="Times New Roman" w:hAnsi="Times New Roman"/>
          <w:color w:val="000000"/>
          <w:sz w:val="18"/>
          <w:szCs w:val="18"/>
        </w:rPr>
        <w:t>3) (text unchanged)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B. Services provided via telehealth to the same extent and standard of care as services provided in person; </w:t>
      </w:r>
      <w:r w:rsidRPr="008A2EE0">
        <w:rPr>
          <w:rFonts w:ascii="Times New Roman" w:eastAsia="Times New Roman" w:hAnsi="Times New Roman"/>
          <w:i/>
          <w:iCs/>
          <w:color w:val="000000"/>
          <w:sz w:val="18"/>
          <w:szCs w:val="18"/>
        </w:rPr>
        <w:t>and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b/>
          <w:bCs/>
          <w:color w:val="000000"/>
          <w:spacing w:val="-2"/>
          <w:sz w:val="18"/>
          <w:szCs w:val="18"/>
        </w:rPr>
        <w:t>[</w:t>
      </w:r>
      <w:r w:rsidRPr="008A2EE0">
        <w:rPr>
          <w:rFonts w:ascii="Times New Roman" w:eastAsia="Times New Roman" w:hAnsi="Times New Roman"/>
          <w:color w:val="000000"/>
          <w:spacing w:val="-2"/>
          <w:sz w:val="18"/>
          <w:szCs w:val="18"/>
        </w:rPr>
        <w:t>C. The transmission fee paid to a registered originating site, except when the originating site is not a Medicaid payable provider; and</w:t>
      </w:r>
      <w:r w:rsidRPr="008A2EE0">
        <w:rPr>
          <w:rFonts w:ascii="Times New Roman" w:eastAsia="Times New Roman" w:hAnsi="Times New Roman"/>
          <w:b/>
          <w:bCs/>
          <w:color w:val="000000"/>
          <w:spacing w:val="-2"/>
          <w:sz w:val="18"/>
          <w:szCs w:val="18"/>
        </w:rPr>
        <w:t>]</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D.</w:t>
      </w:r>
      <w:r w:rsidRPr="008A2EE0">
        <w:rPr>
          <w:rFonts w:ascii="Times New Roman" w:eastAsia="Times New Roman" w:hAnsi="Times New Roman"/>
          <w:b/>
          <w:bCs/>
          <w:color w:val="000000"/>
          <w:sz w:val="18"/>
          <w:szCs w:val="18"/>
        </w:rPr>
        <w:t>] </w:t>
      </w:r>
      <w:r w:rsidRPr="008A2EE0">
        <w:rPr>
          <w:rFonts w:ascii="Times New Roman" w:eastAsia="Times New Roman" w:hAnsi="Times New Roman"/>
          <w:i/>
          <w:iCs/>
          <w:color w:val="000000"/>
          <w:sz w:val="18"/>
          <w:szCs w:val="18"/>
        </w:rPr>
        <w:t>C.</w:t>
      </w:r>
      <w:r w:rsidRPr="008A2EE0">
        <w:rPr>
          <w:rFonts w:ascii="Times New Roman" w:eastAsia="Times New Roman" w:hAnsi="Times New Roman"/>
          <w:color w:val="000000"/>
          <w:sz w:val="18"/>
          <w:szCs w:val="18"/>
        </w:rPr>
        <w:t> (text unchanged)</w:t>
      </w:r>
    </w:p>
    <w:p w:rsidR="008A2EE0" w:rsidRPr="008A2EE0" w:rsidRDefault="008A2EE0" w:rsidP="008A2EE0">
      <w:pPr>
        <w:spacing w:before="140" w:after="0" w:line="240" w:lineRule="auto"/>
        <w:ind w:left="533" w:hanging="533"/>
        <w:jc w:val="both"/>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[.07] </w:t>
      </w:r>
      <w:r w:rsidRPr="008A2EE0">
        <w:rPr>
          <w:rFonts w:ascii="Times New Roman" w:eastAsia="Times New Roman" w:hAnsi="Times New Roman"/>
          <w:b/>
          <w:bCs/>
          <w:i/>
          <w:iCs/>
          <w:color w:val="000000"/>
          <w:sz w:val="18"/>
          <w:szCs w:val="18"/>
        </w:rPr>
        <w:t>.06</w:t>
      </w:r>
      <w:r w:rsidRPr="008A2EE0">
        <w:rPr>
          <w:rFonts w:ascii="Times New Roman" w:eastAsia="Times New Roman" w:hAnsi="Times New Roman"/>
          <w:b/>
          <w:bCs/>
          <w:color w:val="000000"/>
          <w:sz w:val="18"/>
          <w:szCs w:val="18"/>
        </w:rPr>
        <w:t> Provider Conditions for Participation.</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 xml:space="preserve">A. To participate in the Program, the provider </w:t>
      </w:r>
      <w:proofErr w:type="gramStart"/>
      <w:r w:rsidRPr="008A2EE0">
        <w:rPr>
          <w:rFonts w:ascii="Times New Roman" w:eastAsia="Times New Roman" w:hAnsi="Times New Roman"/>
          <w:color w:val="000000"/>
          <w:sz w:val="18"/>
          <w:szCs w:val="18"/>
        </w:rPr>
        <w:t>shall</w:t>
      </w:r>
      <w:r w:rsidRPr="008A2EE0">
        <w:rPr>
          <w:rFonts w:ascii="Times New Roman" w:eastAsia="Times New Roman" w:hAnsi="Times New Roman"/>
          <w:b/>
          <w:bCs/>
          <w:color w:val="000000"/>
          <w:sz w:val="18"/>
          <w:szCs w:val="18"/>
        </w:rPr>
        <w:t>[</w:t>
      </w:r>
      <w:proofErr w:type="gramEnd"/>
      <w:r w:rsidRPr="008A2EE0">
        <w:rPr>
          <w:rFonts w:ascii="Times New Roman" w:eastAsia="Times New Roman" w:hAnsi="Times New Roman"/>
          <w:color w:val="000000"/>
          <w:sz w:val="18"/>
          <w:szCs w:val="18"/>
        </w:rPr>
        <w:t>:</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(1) Except when the originating site is not a Medicaid payable provider, be enrolled as a Medical Assistance Program provider on the date of the service is rendered;</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(2) Except when the originating site is not a Medicaid payable provider,</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 meet the requirements for participation in the Medical Assistance Program as set forth in:</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(a)</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 </w:t>
      </w:r>
      <w:r w:rsidRPr="008A2EE0">
        <w:rPr>
          <w:rFonts w:ascii="Times New Roman" w:eastAsia="Times New Roman" w:hAnsi="Times New Roman"/>
          <w:i/>
          <w:iCs/>
          <w:color w:val="000000"/>
          <w:sz w:val="18"/>
          <w:szCs w:val="18"/>
        </w:rPr>
        <w:t>(1)—</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(c)</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 </w:t>
      </w:r>
      <w:r w:rsidRPr="008A2EE0">
        <w:rPr>
          <w:rFonts w:ascii="Times New Roman" w:eastAsia="Times New Roman" w:hAnsi="Times New Roman"/>
          <w:i/>
          <w:iCs/>
          <w:color w:val="000000"/>
          <w:sz w:val="18"/>
          <w:szCs w:val="18"/>
        </w:rPr>
        <w:t>(3)</w:t>
      </w:r>
      <w:r w:rsidRPr="008A2EE0">
        <w:rPr>
          <w:rFonts w:ascii="Times New Roman" w:eastAsia="Times New Roman" w:hAnsi="Times New Roman"/>
          <w:color w:val="000000"/>
          <w:sz w:val="18"/>
          <w:szCs w:val="18"/>
        </w:rPr>
        <w:t> (text unchanged)</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(3) Register for participation in the Program;</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(4) Engage in telehealth with a permitted telehealth provider registered with the Department, except when the originating site is not a Medicaid payable provider; and</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(5) If a behavioral health service provider, be registered as a provider through the ASO on the date the service is rendered.</w:t>
      </w:r>
      <w:r w:rsidRPr="008A2EE0">
        <w:rPr>
          <w:rFonts w:ascii="Times New Roman" w:eastAsia="Times New Roman" w:hAnsi="Times New Roman"/>
          <w:b/>
          <w:bCs/>
          <w:color w:val="000000"/>
          <w:sz w:val="18"/>
          <w:szCs w:val="18"/>
        </w:rPr>
        <w:t>]</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B. (text unchanged)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C. </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Permitted</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 Originating Sites </w:t>
      </w:r>
      <w:proofErr w:type="gramStart"/>
      <w:r w:rsidRPr="008A2EE0">
        <w:rPr>
          <w:rFonts w:ascii="Times New Roman" w:eastAsia="Times New Roman" w:hAnsi="Times New Roman"/>
          <w:i/>
          <w:iCs/>
          <w:color w:val="000000"/>
          <w:sz w:val="18"/>
          <w:szCs w:val="18"/>
        </w:rPr>
        <w:t>include</w:t>
      </w:r>
      <w:r w:rsidRPr="008A2EE0">
        <w:rPr>
          <w:rFonts w:ascii="Times New Roman" w:eastAsia="Times New Roman" w:hAnsi="Times New Roman"/>
          <w:b/>
          <w:bCs/>
          <w:color w:val="000000"/>
          <w:sz w:val="18"/>
          <w:szCs w:val="18"/>
        </w:rPr>
        <w:t>[</w:t>
      </w:r>
      <w:proofErr w:type="gramEnd"/>
      <w:r w:rsidRPr="008A2EE0">
        <w:rPr>
          <w:rFonts w:ascii="Times New Roman" w:eastAsia="Times New Roman" w:hAnsi="Times New Roman"/>
          <w:color w:val="000000"/>
          <w:sz w:val="18"/>
          <w:szCs w:val="18"/>
        </w:rPr>
        <w:t>. The following sites may register as an originating site for Telehealth Program service delivery</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(1)</w:t>
      </w:r>
      <w:proofErr w:type="gramStart"/>
      <w:r w:rsidRPr="008A2EE0">
        <w:rPr>
          <w:rFonts w:ascii="Times New Roman" w:eastAsia="Times New Roman" w:hAnsi="Times New Roman"/>
          <w:color w:val="000000"/>
          <w:sz w:val="18"/>
          <w:szCs w:val="18"/>
        </w:rPr>
        <w:t>—(</w:t>
      </w:r>
      <w:proofErr w:type="gramEnd"/>
      <w:r w:rsidRPr="008A2EE0">
        <w:rPr>
          <w:rFonts w:ascii="Times New Roman" w:eastAsia="Times New Roman" w:hAnsi="Times New Roman"/>
          <w:color w:val="000000"/>
          <w:sz w:val="18"/>
          <w:szCs w:val="18"/>
        </w:rPr>
        <w:t>13) (text unchanged)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D. </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Permitted</w:t>
      </w:r>
      <w:r w:rsidRPr="008A2EE0">
        <w:rPr>
          <w:rFonts w:ascii="Times New Roman" w:eastAsia="Times New Roman" w:hAnsi="Times New Roman"/>
          <w:b/>
          <w:bCs/>
          <w:color w:val="000000"/>
          <w:sz w:val="18"/>
          <w:szCs w:val="18"/>
        </w:rPr>
        <w:t>] </w:t>
      </w:r>
      <w:r w:rsidRPr="008A2EE0">
        <w:rPr>
          <w:rFonts w:ascii="Times New Roman" w:eastAsia="Times New Roman" w:hAnsi="Times New Roman"/>
          <w:color w:val="000000"/>
          <w:sz w:val="18"/>
          <w:szCs w:val="18"/>
        </w:rPr>
        <w:t>Distant Site Providers </w:t>
      </w:r>
      <w:r w:rsidRPr="008A2EE0">
        <w:rPr>
          <w:rFonts w:ascii="Times New Roman" w:eastAsia="Times New Roman" w:hAnsi="Times New Roman"/>
          <w:i/>
          <w:iCs/>
          <w:color w:val="000000"/>
          <w:sz w:val="18"/>
          <w:szCs w:val="18"/>
        </w:rPr>
        <w:t>may render services via telehealth within the provider’s scope of practice.</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(1) Effective October 1, 2017, the following provider sites may register as distant site providers eligible to deliver services via telehealth within the rendering provider’s scope of practice:</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(a) A community-based substance use disorder provider;</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(b) An opioid treatment program;</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(c) An outpatient mental health center; or</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(d) A federally qualified health center.</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lastRenderedPageBreak/>
        <w:t>(2) The following rendering provider types licensed to practice in Maryland may register as distant site providers to render behavioral or somatic services via telehealth:</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(a) A nurse midwife;</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(b) A nurse practitioner;</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(c) A psychiatric nurse practitioner;</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(d) A physician;</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(e) A physician assistant; or</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(f) A provider fluent in American Sign Language providing telehealth services to a deaf or hard of hearing participant.</w:t>
      </w:r>
      <w:r w:rsidRPr="008A2EE0">
        <w:rPr>
          <w:rFonts w:ascii="Times New Roman" w:eastAsia="Times New Roman" w:hAnsi="Times New Roman"/>
          <w:b/>
          <w:bCs/>
          <w:color w:val="000000"/>
          <w:sz w:val="18"/>
          <w:szCs w:val="18"/>
        </w:rPr>
        <w:t>]</w:t>
      </w:r>
    </w:p>
    <w:p w:rsidR="008A2EE0" w:rsidRPr="008A2EE0" w:rsidRDefault="008A2EE0" w:rsidP="008A2EE0">
      <w:pPr>
        <w:spacing w:before="140" w:after="0" w:line="240" w:lineRule="auto"/>
        <w:ind w:left="533" w:hanging="533"/>
        <w:jc w:val="both"/>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[.10] </w:t>
      </w:r>
      <w:r w:rsidRPr="008A2EE0">
        <w:rPr>
          <w:rFonts w:ascii="Times New Roman" w:eastAsia="Times New Roman" w:hAnsi="Times New Roman"/>
          <w:b/>
          <w:bCs/>
          <w:i/>
          <w:iCs/>
          <w:color w:val="000000"/>
          <w:sz w:val="18"/>
          <w:szCs w:val="18"/>
        </w:rPr>
        <w:t>.09</w:t>
      </w:r>
      <w:r w:rsidRPr="008A2EE0">
        <w:rPr>
          <w:rFonts w:ascii="Times New Roman" w:eastAsia="Times New Roman" w:hAnsi="Times New Roman"/>
          <w:b/>
          <w:bCs/>
          <w:color w:val="000000"/>
          <w:sz w:val="18"/>
          <w:szCs w:val="18"/>
        </w:rPr>
        <w:t> Limitations.</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A.—D. (text unchanged)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E. The Department may not reimburse a provider for the following:</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(1)</w:t>
      </w:r>
      <w:proofErr w:type="gramStart"/>
      <w:r w:rsidRPr="008A2EE0">
        <w:rPr>
          <w:rFonts w:ascii="Times New Roman" w:eastAsia="Times New Roman" w:hAnsi="Times New Roman"/>
          <w:color w:val="000000"/>
          <w:sz w:val="18"/>
          <w:szCs w:val="18"/>
        </w:rPr>
        <w:t>—(</w:t>
      </w:r>
      <w:proofErr w:type="gramEnd"/>
      <w:r w:rsidRPr="008A2EE0">
        <w:rPr>
          <w:rFonts w:ascii="Times New Roman" w:eastAsia="Times New Roman" w:hAnsi="Times New Roman"/>
          <w:color w:val="000000"/>
          <w:sz w:val="18"/>
          <w:szCs w:val="18"/>
        </w:rPr>
        <w:t>2) (text unchanged)</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(3) Telehealth services delivered where </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either:</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 </w:t>
      </w:r>
      <w:r w:rsidRPr="008A2EE0">
        <w:rPr>
          <w:rFonts w:ascii="Times New Roman" w:eastAsia="Times New Roman" w:hAnsi="Times New Roman"/>
          <w:color w:val="000000"/>
          <w:sz w:val="18"/>
          <w:szCs w:val="18"/>
        </w:rPr>
        <w:t>(a) The distant site is not a registered distant site provider as set forth in Regulation .07 of this chapter; or</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 (b)</w:t>
      </w:r>
      <w:r w:rsidRPr="008A2EE0">
        <w:rPr>
          <w:rFonts w:ascii="Times New Roman" w:eastAsia="Times New Roman" w:hAnsi="Times New Roman"/>
          <w:b/>
          <w:bCs/>
          <w:color w:val="000000"/>
          <w:sz w:val="18"/>
          <w:szCs w:val="18"/>
        </w:rPr>
        <w:t> </w:t>
      </w:r>
      <w:r w:rsidRPr="008A2EE0">
        <w:rPr>
          <w:rFonts w:ascii="Times New Roman" w:eastAsia="Times New Roman" w:hAnsi="Times New Roman"/>
          <w:color w:val="000000"/>
          <w:sz w:val="18"/>
          <w:szCs w:val="18"/>
        </w:rPr>
        <w:t>The</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 </w:t>
      </w:r>
      <w:r w:rsidRPr="008A2EE0">
        <w:rPr>
          <w:rFonts w:ascii="Times New Roman" w:eastAsia="Times New Roman" w:hAnsi="Times New Roman"/>
          <w:i/>
          <w:iCs/>
          <w:color w:val="000000"/>
          <w:sz w:val="18"/>
          <w:szCs w:val="18"/>
        </w:rPr>
        <w:t>the</w:t>
      </w:r>
      <w:r w:rsidRPr="008A2EE0">
        <w:rPr>
          <w:rFonts w:ascii="Times New Roman" w:eastAsia="Times New Roman" w:hAnsi="Times New Roman"/>
          <w:color w:val="000000"/>
          <w:sz w:val="18"/>
          <w:szCs w:val="18"/>
        </w:rPr>
        <w:t> originating site is not a permitted originating site provider as set forth in Regulation</w:t>
      </w:r>
      <w:r w:rsidRPr="008A2EE0">
        <w:rPr>
          <w:rFonts w:ascii="Times New Roman" w:eastAsia="Times New Roman" w:hAnsi="Times New Roman"/>
          <w:b/>
          <w:bCs/>
          <w:color w:val="000000"/>
          <w:sz w:val="18"/>
          <w:szCs w:val="18"/>
        </w:rPr>
        <w:t> [</w:t>
      </w:r>
      <w:r w:rsidRPr="008A2EE0">
        <w:rPr>
          <w:rFonts w:ascii="Times New Roman" w:eastAsia="Times New Roman" w:hAnsi="Times New Roman"/>
          <w:color w:val="000000"/>
          <w:sz w:val="18"/>
          <w:szCs w:val="18"/>
        </w:rPr>
        <w:t>.07</w:t>
      </w:r>
      <w:r w:rsidRPr="008A2EE0">
        <w:rPr>
          <w:rFonts w:ascii="Times New Roman" w:eastAsia="Times New Roman" w:hAnsi="Times New Roman"/>
          <w:b/>
          <w:bCs/>
          <w:color w:val="000000"/>
          <w:sz w:val="18"/>
          <w:szCs w:val="18"/>
        </w:rPr>
        <w:t>] </w:t>
      </w:r>
      <w:r w:rsidRPr="008A2EE0">
        <w:rPr>
          <w:rFonts w:ascii="Times New Roman" w:eastAsia="Times New Roman" w:hAnsi="Times New Roman"/>
          <w:i/>
          <w:iCs/>
          <w:color w:val="000000"/>
          <w:sz w:val="18"/>
          <w:szCs w:val="18"/>
        </w:rPr>
        <w:t>.06</w:t>
      </w:r>
      <w:r w:rsidRPr="008A2EE0">
        <w:rPr>
          <w:rFonts w:ascii="Times New Roman" w:eastAsia="Times New Roman" w:hAnsi="Times New Roman"/>
          <w:b/>
          <w:bCs/>
          <w:color w:val="000000"/>
          <w:sz w:val="18"/>
          <w:szCs w:val="18"/>
        </w:rPr>
        <w:t> </w:t>
      </w:r>
      <w:r w:rsidRPr="008A2EE0">
        <w:rPr>
          <w:rFonts w:ascii="Times New Roman" w:eastAsia="Times New Roman" w:hAnsi="Times New Roman"/>
          <w:color w:val="000000"/>
          <w:sz w:val="18"/>
          <w:szCs w:val="18"/>
        </w:rPr>
        <w:t>of this chapter; or</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(4) (text unchanged)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F.—G. (text unchanged)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H. The Department may not reimburse for originating site transmission fees billed using both the physicians’ services fee and the Health Services Cost Review Commission fee.</w:t>
      </w:r>
      <w:r w:rsidRPr="008A2EE0">
        <w:rPr>
          <w:rFonts w:ascii="Times New Roman" w:eastAsia="Times New Roman" w:hAnsi="Times New Roman"/>
          <w:b/>
          <w:bCs/>
          <w:color w:val="000000"/>
          <w:sz w:val="18"/>
          <w:szCs w:val="18"/>
        </w:rPr>
        <w:t>]</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I.</w:t>
      </w:r>
      <w:r w:rsidRPr="008A2EE0">
        <w:rPr>
          <w:rFonts w:ascii="Times New Roman" w:eastAsia="Times New Roman" w:hAnsi="Times New Roman"/>
          <w:b/>
          <w:bCs/>
          <w:color w:val="000000"/>
          <w:sz w:val="18"/>
          <w:szCs w:val="18"/>
        </w:rPr>
        <w:t>]</w:t>
      </w:r>
      <w:r w:rsidRPr="008A2EE0">
        <w:rPr>
          <w:rFonts w:ascii="Times New Roman" w:eastAsia="Times New Roman" w:hAnsi="Times New Roman"/>
          <w:i/>
          <w:iCs/>
          <w:color w:val="000000"/>
          <w:sz w:val="18"/>
          <w:szCs w:val="18"/>
        </w:rPr>
        <w:t> H.</w:t>
      </w:r>
      <w:r w:rsidRPr="008A2EE0">
        <w:rPr>
          <w:rFonts w:ascii="Times New Roman" w:eastAsia="Times New Roman" w:hAnsi="Times New Roman"/>
          <w:color w:val="000000"/>
          <w:sz w:val="18"/>
          <w:szCs w:val="18"/>
        </w:rPr>
        <w:t> (text unchanged)</w:t>
      </w:r>
    </w:p>
    <w:p w:rsidR="008A2EE0" w:rsidRPr="008A2EE0" w:rsidRDefault="008A2EE0" w:rsidP="008A2EE0">
      <w:pPr>
        <w:spacing w:before="140" w:after="0" w:line="240" w:lineRule="auto"/>
        <w:ind w:left="533" w:hanging="533"/>
        <w:jc w:val="both"/>
        <w:rPr>
          <w:rFonts w:ascii="Times New Roman" w:eastAsia="Times New Roman" w:hAnsi="Times New Roman"/>
          <w:b/>
          <w:bCs/>
          <w:color w:val="000000"/>
          <w:sz w:val="18"/>
          <w:szCs w:val="18"/>
        </w:rPr>
      </w:pPr>
      <w:r w:rsidRPr="008A2EE0">
        <w:rPr>
          <w:rFonts w:ascii="Times New Roman" w:eastAsia="Times New Roman" w:hAnsi="Times New Roman"/>
          <w:b/>
          <w:bCs/>
          <w:color w:val="000000"/>
          <w:sz w:val="18"/>
          <w:szCs w:val="18"/>
        </w:rPr>
        <w:t>[.11] </w:t>
      </w:r>
      <w:r w:rsidRPr="008A2EE0">
        <w:rPr>
          <w:rFonts w:ascii="Times New Roman" w:eastAsia="Times New Roman" w:hAnsi="Times New Roman"/>
          <w:b/>
          <w:bCs/>
          <w:i/>
          <w:iCs/>
          <w:color w:val="000000"/>
          <w:sz w:val="18"/>
          <w:szCs w:val="18"/>
        </w:rPr>
        <w:t>.10</w:t>
      </w:r>
      <w:r w:rsidRPr="008A2EE0">
        <w:rPr>
          <w:rFonts w:ascii="Times New Roman" w:eastAsia="Times New Roman" w:hAnsi="Times New Roman"/>
          <w:b/>
          <w:bCs/>
          <w:color w:val="000000"/>
          <w:sz w:val="18"/>
          <w:szCs w:val="18"/>
        </w:rPr>
        <w:t> Reimbursement.</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A. To receive reimbursement for telehealth services, a provider shall:</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(1) Be actively enrolled with Maryland Medical Assistance; </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and</w:t>
      </w:r>
      <w:r w:rsidRPr="008A2EE0">
        <w:rPr>
          <w:rFonts w:ascii="Times New Roman" w:eastAsia="Times New Roman" w:hAnsi="Times New Roman"/>
          <w:b/>
          <w:bCs/>
          <w:color w:val="000000"/>
          <w:sz w:val="18"/>
          <w:szCs w:val="18"/>
        </w:rPr>
        <w:t>]</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(2) Participate with a telehealth partner that meets provider conditions for participation as set forth in Regulation </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.07</w:t>
      </w:r>
      <w:r w:rsidRPr="008A2EE0">
        <w:rPr>
          <w:rFonts w:ascii="Times New Roman" w:eastAsia="Times New Roman" w:hAnsi="Times New Roman"/>
          <w:b/>
          <w:bCs/>
          <w:color w:val="000000"/>
          <w:sz w:val="18"/>
          <w:szCs w:val="18"/>
        </w:rPr>
        <w:t>] </w:t>
      </w:r>
      <w:r w:rsidRPr="008A2EE0">
        <w:rPr>
          <w:rFonts w:ascii="Times New Roman" w:eastAsia="Times New Roman" w:hAnsi="Times New Roman"/>
          <w:i/>
          <w:iCs/>
          <w:color w:val="000000"/>
          <w:sz w:val="18"/>
          <w:szCs w:val="18"/>
        </w:rPr>
        <w:t>.06</w:t>
      </w:r>
      <w:r w:rsidRPr="008A2EE0">
        <w:rPr>
          <w:rFonts w:ascii="Times New Roman" w:eastAsia="Times New Roman" w:hAnsi="Times New Roman"/>
          <w:color w:val="000000"/>
          <w:sz w:val="18"/>
          <w:szCs w:val="18"/>
        </w:rPr>
        <w:t> of this chapter</w:t>
      </w: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w:t>
      </w:r>
      <w:r w:rsidRPr="008A2EE0">
        <w:rPr>
          <w:rFonts w:ascii="Times New Roman" w:eastAsia="Times New Roman" w:hAnsi="Times New Roman"/>
          <w:b/>
          <w:bCs/>
          <w:color w:val="000000"/>
          <w:sz w:val="18"/>
          <w:szCs w:val="18"/>
        </w:rPr>
        <w:t>]</w:t>
      </w:r>
      <w:r w:rsidRPr="008A2EE0">
        <w:rPr>
          <w:rFonts w:ascii="Times New Roman" w:eastAsia="Times New Roman" w:hAnsi="Times New Roman"/>
          <w:i/>
          <w:iCs/>
          <w:color w:val="000000"/>
          <w:sz w:val="18"/>
          <w:szCs w:val="18"/>
        </w:rPr>
        <w:t>; and</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(3) If a provider is a behavioral health service provider, be registered as a provider through the ASO on the date the service is rendered.</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B. Originating Site Transmission Fee.</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(1) The telehealth transmission fee is set:</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(a) In COMAR 10.09.02.07D; or</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(b) By the Health Services Cost Review Commission for sites located in regulated space.</w:t>
      </w:r>
    </w:p>
    <w:p w:rsidR="008A2EE0" w:rsidRPr="008A2EE0" w:rsidRDefault="008A2EE0" w:rsidP="008A2EE0">
      <w:pPr>
        <w:spacing w:after="0" w:line="240" w:lineRule="auto"/>
        <w:ind w:firstLine="432"/>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(2) Transmission fees paid to the originating site may be used to pay for:</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(a) Line or per minute usage charges, or both; and</w:t>
      </w:r>
    </w:p>
    <w:p w:rsidR="008A2EE0" w:rsidRPr="008A2EE0" w:rsidRDefault="008A2EE0" w:rsidP="008A2EE0">
      <w:pPr>
        <w:spacing w:after="0" w:line="240" w:lineRule="auto"/>
        <w:ind w:firstLine="648"/>
        <w:jc w:val="both"/>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(b) Any additional programmatic, administrative, clinical, or contingency support at the originating site.</w:t>
      </w:r>
      <w:r w:rsidRPr="008A2EE0">
        <w:rPr>
          <w:rFonts w:ascii="Times New Roman" w:eastAsia="Times New Roman" w:hAnsi="Times New Roman"/>
          <w:b/>
          <w:bCs/>
          <w:color w:val="000000"/>
          <w:sz w:val="18"/>
          <w:szCs w:val="18"/>
        </w:rPr>
        <w:t>]</w:t>
      </w:r>
    </w:p>
    <w:p w:rsidR="008A2EE0" w:rsidRPr="008A2EE0" w:rsidRDefault="008A2EE0" w:rsidP="008A2EE0">
      <w:pPr>
        <w:spacing w:after="0" w:line="240" w:lineRule="auto"/>
        <w:ind w:firstLine="216"/>
        <w:jc w:val="both"/>
        <w:rPr>
          <w:rFonts w:ascii="Times New Roman" w:eastAsia="Times New Roman" w:hAnsi="Times New Roman"/>
          <w:color w:val="000000"/>
          <w:sz w:val="18"/>
          <w:szCs w:val="18"/>
        </w:rPr>
      </w:pPr>
      <w:r w:rsidRPr="008A2EE0">
        <w:rPr>
          <w:rFonts w:ascii="Times New Roman" w:eastAsia="Times New Roman" w:hAnsi="Times New Roman"/>
          <w:b/>
          <w:bCs/>
          <w:color w:val="000000"/>
          <w:sz w:val="18"/>
          <w:szCs w:val="18"/>
        </w:rPr>
        <w:t>[</w:t>
      </w:r>
      <w:r w:rsidRPr="008A2EE0">
        <w:rPr>
          <w:rFonts w:ascii="Times New Roman" w:eastAsia="Times New Roman" w:hAnsi="Times New Roman"/>
          <w:color w:val="000000"/>
          <w:sz w:val="18"/>
          <w:szCs w:val="18"/>
        </w:rPr>
        <w:t>C.</w:t>
      </w:r>
      <w:r w:rsidRPr="008A2EE0">
        <w:rPr>
          <w:rFonts w:ascii="Times New Roman" w:eastAsia="Times New Roman" w:hAnsi="Times New Roman"/>
          <w:b/>
          <w:bCs/>
          <w:color w:val="000000"/>
          <w:sz w:val="18"/>
          <w:szCs w:val="18"/>
        </w:rPr>
        <w:t>] </w:t>
      </w:r>
      <w:r w:rsidRPr="008A2EE0">
        <w:rPr>
          <w:rFonts w:ascii="Times New Roman" w:eastAsia="Times New Roman" w:hAnsi="Times New Roman"/>
          <w:i/>
          <w:iCs/>
          <w:color w:val="000000"/>
          <w:sz w:val="18"/>
          <w:szCs w:val="18"/>
        </w:rPr>
        <w:t>B.</w:t>
      </w:r>
      <w:r w:rsidRPr="008A2EE0">
        <w:rPr>
          <w:rFonts w:ascii="Times New Roman" w:eastAsia="Times New Roman" w:hAnsi="Times New Roman"/>
          <w:color w:val="000000"/>
          <w:sz w:val="18"/>
          <w:szCs w:val="18"/>
        </w:rPr>
        <w:t> (text unchanged)</w:t>
      </w:r>
    </w:p>
    <w:p w:rsidR="008A2EE0" w:rsidRPr="008A2EE0" w:rsidRDefault="008A2EE0" w:rsidP="008A2EE0">
      <w:pPr>
        <w:spacing w:before="120" w:after="0" w:line="240" w:lineRule="auto"/>
        <w:jc w:val="right"/>
        <w:rPr>
          <w:rFonts w:ascii="Times New Roman" w:eastAsia="Times New Roman" w:hAnsi="Times New Roman"/>
          <w:color w:val="000000"/>
          <w:sz w:val="18"/>
          <w:szCs w:val="18"/>
        </w:rPr>
      </w:pPr>
      <w:r w:rsidRPr="008A2EE0">
        <w:rPr>
          <w:rFonts w:ascii="Times New Roman" w:eastAsia="Times New Roman" w:hAnsi="Times New Roman"/>
          <w:color w:val="000000"/>
          <w:sz w:val="18"/>
          <w:szCs w:val="18"/>
        </w:rPr>
        <w:t>ROBERT R. NEALL</w:t>
      </w:r>
      <w:r w:rsidRPr="008A2EE0">
        <w:rPr>
          <w:rFonts w:ascii="Times New Roman" w:eastAsia="Times New Roman" w:hAnsi="Times New Roman"/>
          <w:color w:val="000000"/>
          <w:sz w:val="18"/>
          <w:szCs w:val="18"/>
        </w:rPr>
        <w:br/>
        <w:t>Secretary of Health</w:t>
      </w:r>
    </w:p>
    <w:p w:rsidR="008A2EE0" w:rsidRPr="008A2EE0" w:rsidRDefault="008A2EE0" w:rsidP="008A2EE0">
      <w:pPr>
        <w:spacing w:after="0" w:line="240" w:lineRule="auto"/>
        <w:jc w:val="both"/>
        <w:rPr>
          <w:rFonts w:ascii="Times New Roman" w:eastAsia="Times New Roman" w:hAnsi="Times New Roman"/>
          <w:color w:val="000000"/>
          <w:sz w:val="18"/>
          <w:szCs w:val="18"/>
        </w:rPr>
      </w:pPr>
      <w:r w:rsidRPr="008A2EE0">
        <w:rPr>
          <w:rFonts w:ascii="Times New Roman" w:eastAsia="Times New Roman" w:hAnsi="Times New Roman"/>
          <w:color w:val="000000"/>
          <w:sz w:val="24"/>
          <w:szCs w:val="24"/>
        </w:rPr>
        <w:t> </w:t>
      </w:r>
    </w:p>
    <w:p w:rsidR="00973495" w:rsidRDefault="008A2EE0"/>
    <w:sectPr w:rsidR="009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E0"/>
    <w:rsid w:val="008A2EE0"/>
    <w:rsid w:val="008A6F37"/>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D2D2"/>
  <w15:chartTrackingRefBased/>
  <w15:docId w15:val="{80CDD09D-F3A4-4FBF-834C-BF0C8856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EE0"/>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8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2A0FB0C-D746-4E98-9904-859F13DF93FC}"/>
</file>

<file path=customXml/itemProps2.xml><?xml version="1.0" encoding="utf-8"?>
<ds:datastoreItem xmlns:ds="http://schemas.openxmlformats.org/officeDocument/2006/customXml" ds:itemID="{3737538F-11C2-430E-98B8-5994173BE4D9}"/>
</file>

<file path=customXml/itemProps3.xml><?xml version="1.0" encoding="utf-8"?>
<ds:datastoreItem xmlns:ds="http://schemas.openxmlformats.org/officeDocument/2006/customXml" ds:itemID="{28BE2D30-C96F-4247-99F1-DD6F6F8DDC79}"/>
</file>

<file path=customXml/itemProps4.xml><?xml version="1.0" encoding="utf-8"?>
<ds:datastoreItem xmlns:ds="http://schemas.openxmlformats.org/officeDocument/2006/customXml" ds:itemID="{F78FEC22-084D-4C56-95D8-07DC3D9AABEB}"/>
</file>

<file path=docProps/app.xml><?xml version="1.0" encoding="utf-8"?>
<Properties xmlns="http://schemas.openxmlformats.org/officeDocument/2006/extended-properties" xmlns:vt="http://schemas.openxmlformats.org/officeDocument/2006/docPropsVTypes">
  <Template>Normal</Template>
  <TotalTime>2</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2019-06-07T12:42:00Z</dcterms:created>
  <dcterms:modified xsi:type="dcterms:W3CDTF">2019-06-07T12:44:00Z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34d1fa10-6bbe-43c6-8bfa-601bdcda4a64</vt:lpwstr>
  </property>
</Properties>
</file>