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08938" w14:textId="4A9B1983" w:rsidR="00E0112B" w:rsidRPr="002E1854" w:rsidRDefault="00B33EA2" w:rsidP="002E185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Eras Bold ITC" w:hAnsi="Eras Bold ITC"/>
          <w:b w:val="0"/>
          <w:bCs w:val="0"/>
          <w:color w:val="FFFFFF"/>
        </w:rPr>
      </w:pPr>
      <w:r w:rsidRPr="002E1854">
        <w:rPr>
          <w:rFonts w:ascii="Eras Bold ITC" w:hAnsi="Eras Bold ITC"/>
          <w:b w:val="0"/>
          <w:bCs w:val="0"/>
          <w:color w:val="FFFFFF"/>
        </w:rPr>
        <w:t>Instruction</w:t>
      </w:r>
      <w:r>
        <w:rPr>
          <w:rFonts w:ascii="Eras Bold ITC" w:hAnsi="Eras Bold ITC"/>
          <w:b w:val="0"/>
          <w:bCs w:val="0"/>
          <w:color w:val="FFFFFF"/>
        </w:rPr>
        <w:t>s</w:t>
      </w:r>
      <w:r w:rsidRPr="002E1854">
        <w:rPr>
          <w:rFonts w:ascii="Eras Bold ITC" w:hAnsi="Eras Bold ITC"/>
          <w:b w:val="0"/>
          <w:bCs w:val="0"/>
          <w:color w:val="FFFFFF"/>
        </w:rPr>
        <w:t xml:space="preserve"> </w:t>
      </w:r>
      <w:r>
        <w:rPr>
          <w:rFonts w:ascii="Eras Bold ITC" w:hAnsi="Eras Bold ITC"/>
          <w:b w:val="0"/>
          <w:bCs w:val="0"/>
          <w:color w:val="FFFFFF"/>
        </w:rPr>
        <w:t xml:space="preserve">and Definitions </w:t>
      </w:r>
      <w:r w:rsidR="00E0112B" w:rsidRPr="002E1854">
        <w:rPr>
          <w:rFonts w:ascii="Eras Bold ITC" w:hAnsi="Eras Bold ITC"/>
          <w:b w:val="0"/>
          <w:bCs w:val="0"/>
          <w:color w:val="FFFFFF"/>
        </w:rPr>
        <w:t xml:space="preserve">for TB Contact </w:t>
      </w:r>
      <w:r w:rsidR="002E1854">
        <w:rPr>
          <w:rFonts w:ascii="Eras Bold ITC" w:hAnsi="Eras Bold ITC"/>
          <w:b w:val="0"/>
          <w:bCs w:val="0"/>
          <w:color w:val="FFFFFF"/>
        </w:rPr>
        <w:t xml:space="preserve">Investigation </w:t>
      </w:r>
      <w:r w:rsidR="00DD5A67">
        <w:rPr>
          <w:rFonts w:ascii="Eras Bold ITC" w:hAnsi="Eras Bold ITC"/>
          <w:b w:val="0"/>
          <w:bCs w:val="0"/>
          <w:color w:val="FFFFFF"/>
        </w:rPr>
        <w:t>Data</w:t>
      </w:r>
      <w:r w:rsidR="00032473">
        <w:rPr>
          <w:rFonts w:ascii="Eras Bold ITC" w:hAnsi="Eras Bold ITC"/>
          <w:b w:val="0"/>
          <w:bCs w:val="0"/>
          <w:color w:val="FFFFFF"/>
        </w:rPr>
        <w:t xml:space="preserve"> in NEDSS</w:t>
      </w:r>
    </w:p>
    <w:p w14:paraId="3A3CFD7D" w14:textId="77777777" w:rsidR="00E0112B" w:rsidRDefault="00E0112B">
      <w:pPr>
        <w:jc w:val="center"/>
      </w:pPr>
    </w:p>
    <w:p w14:paraId="50D57D93" w14:textId="00317514" w:rsidR="00E0112B" w:rsidRPr="002E6B06" w:rsidRDefault="00E0112B" w:rsidP="00C7027C">
      <w:p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The TB Contact </w:t>
      </w:r>
      <w:r w:rsidR="002E1854" w:rsidRPr="002E6B06">
        <w:rPr>
          <w:rFonts w:ascii="Arial" w:hAnsi="Arial" w:cs="Arial"/>
        </w:rPr>
        <w:t xml:space="preserve">Investigation </w:t>
      </w:r>
      <w:r w:rsidR="00DD5A67" w:rsidRPr="002E6B06">
        <w:rPr>
          <w:rFonts w:ascii="Arial" w:hAnsi="Arial" w:cs="Arial"/>
        </w:rPr>
        <w:t>data</w:t>
      </w:r>
      <w:r w:rsidRPr="002E6B06">
        <w:rPr>
          <w:rFonts w:ascii="Arial" w:hAnsi="Arial" w:cs="Arial"/>
        </w:rPr>
        <w:t xml:space="preserve"> allows state and local TB officials to compile aggregate data</w:t>
      </w:r>
      <w:r w:rsidR="00DD5A67" w:rsidRPr="002E6B06">
        <w:rPr>
          <w:rFonts w:ascii="Arial" w:hAnsi="Arial" w:cs="Arial"/>
        </w:rPr>
        <w:t xml:space="preserve"> for program evaluation</w:t>
      </w:r>
      <w:r w:rsidRPr="002E6B06">
        <w:rPr>
          <w:rFonts w:ascii="Arial" w:hAnsi="Arial" w:cs="Arial"/>
        </w:rPr>
        <w:t xml:space="preserve">. The data </w:t>
      </w:r>
      <w:r w:rsidR="00D47C33" w:rsidRPr="002E6B06">
        <w:rPr>
          <w:rFonts w:ascii="Arial" w:hAnsi="Arial" w:cs="Arial"/>
        </w:rPr>
        <w:t>are</w:t>
      </w:r>
      <w:r w:rsidRPr="002E6B06">
        <w:rPr>
          <w:rFonts w:ascii="Arial" w:hAnsi="Arial" w:cs="Arial"/>
        </w:rPr>
        <w:t xml:space="preserve"> used by the state program to submit the annual Aggregate Report for Tuberculosis Program Evaluation (ARPE) to the Centers for Disease Control</w:t>
      </w:r>
      <w:r w:rsidR="00520EE7" w:rsidRPr="002E6B06">
        <w:rPr>
          <w:rFonts w:ascii="Arial" w:hAnsi="Arial" w:cs="Arial"/>
        </w:rPr>
        <w:t xml:space="preserve"> and Prevention</w:t>
      </w:r>
      <w:r w:rsidRPr="002E6B06">
        <w:rPr>
          <w:rFonts w:ascii="Arial" w:hAnsi="Arial" w:cs="Arial"/>
        </w:rPr>
        <w:t xml:space="preserve">. </w:t>
      </w:r>
      <w:r w:rsidR="00C7027C" w:rsidRPr="002E6B06">
        <w:rPr>
          <w:rFonts w:ascii="Arial" w:hAnsi="Arial" w:cs="Arial"/>
        </w:rPr>
        <w:t xml:space="preserve"> </w:t>
      </w:r>
      <w:r w:rsidRPr="002E6B06">
        <w:rPr>
          <w:rFonts w:ascii="Arial" w:hAnsi="Arial" w:cs="Arial"/>
        </w:rPr>
        <w:t xml:space="preserve">The data </w:t>
      </w:r>
      <w:r w:rsidR="00520EE7" w:rsidRPr="002E6B06">
        <w:rPr>
          <w:rFonts w:ascii="Arial" w:hAnsi="Arial" w:cs="Arial"/>
        </w:rPr>
        <w:t>are</w:t>
      </w:r>
      <w:r w:rsidRPr="002E6B06">
        <w:rPr>
          <w:rFonts w:ascii="Arial" w:hAnsi="Arial" w:cs="Arial"/>
        </w:rPr>
        <w:t xml:space="preserve"> also used for other program monitoring activities.</w:t>
      </w:r>
      <w:r w:rsidR="00161116" w:rsidRPr="002E6B06">
        <w:rPr>
          <w:rFonts w:ascii="Arial" w:hAnsi="Arial" w:cs="Arial"/>
        </w:rPr>
        <w:t xml:space="preserve"> </w:t>
      </w:r>
    </w:p>
    <w:p w14:paraId="04651E17" w14:textId="238836EF" w:rsidR="00161116" w:rsidRPr="002E6B06" w:rsidRDefault="00161116" w:rsidP="00C7027C">
      <w:pPr>
        <w:rPr>
          <w:rFonts w:ascii="Arial" w:hAnsi="Arial" w:cs="Arial"/>
        </w:rPr>
      </w:pPr>
    </w:p>
    <w:p w14:paraId="110C0608" w14:textId="0D4F6A90" w:rsidR="00161116" w:rsidRDefault="00161116" w:rsidP="00161116">
      <w:pPr>
        <w:rPr>
          <w:rFonts w:ascii="Arial" w:hAnsi="Arial" w:cs="Arial"/>
        </w:rPr>
      </w:pPr>
      <w:r w:rsidRPr="002E6B06">
        <w:rPr>
          <w:rFonts w:ascii="Arial" w:hAnsi="Arial" w:cs="Arial"/>
          <w:b/>
          <w:bCs/>
        </w:rPr>
        <w:t>Cases for contact investigations</w:t>
      </w:r>
      <w:r w:rsidR="00841C53" w:rsidRPr="002E6B06">
        <w:rPr>
          <w:rFonts w:ascii="Arial" w:hAnsi="Arial" w:cs="Arial"/>
        </w:rPr>
        <w:t>*</w:t>
      </w:r>
    </w:p>
    <w:p w14:paraId="123390C9" w14:textId="77777777" w:rsidR="009B009E" w:rsidRPr="002E6B06" w:rsidRDefault="009B009E" w:rsidP="00161116">
      <w:pPr>
        <w:rPr>
          <w:rFonts w:ascii="Arial" w:hAnsi="Arial" w:cs="Arial"/>
        </w:rPr>
      </w:pPr>
    </w:p>
    <w:p w14:paraId="15501E80" w14:textId="77777777" w:rsidR="00161116" w:rsidRPr="002E6B06" w:rsidRDefault="00161116" w:rsidP="00161116">
      <w:pPr>
        <w:rPr>
          <w:rFonts w:ascii="Arial" w:hAnsi="Arial" w:cs="Arial"/>
        </w:rPr>
      </w:pPr>
      <w:r w:rsidRPr="002E6B06">
        <w:rPr>
          <w:rFonts w:ascii="Arial" w:hAnsi="Arial" w:cs="Arial"/>
        </w:rPr>
        <w:t>The following criteria are used to determine TB cases that need contacts entered in NEDSS.</w:t>
      </w:r>
    </w:p>
    <w:p w14:paraId="3DAED3D1" w14:textId="77777777" w:rsidR="00161116" w:rsidRPr="002E6B06" w:rsidRDefault="00161116" w:rsidP="001611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Sputum smear-positive cases</w:t>
      </w:r>
    </w:p>
    <w:p w14:paraId="7700BF0E" w14:textId="77777777" w:rsidR="00161116" w:rsidRPr="002E6B06" w:rsidRDefault="00161116" w:rsidP="00161116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Regardless of culture status</w:t>
      </w:r>
    </w:p>
    <w:p w14:paraId="72AE7CE3" w14:textId="20EFF93B" w:rsidR="00161116" w:rsidRPr="002E6B06" w:rsidRDefault="00161116" w:rsidP="001611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Sputum smear-negative</w:t>
      </w:r>
      <w:r w:rsidR="00841C53" w:rsidRPr="002E6B06">
        <w:rPr>
          <w:rFonts w:ascii="Arial" w:hAnsi="Arial" w:cs="Arial"/>
        </w:rPr>
        <w:t>/</w:t>
      </w:r>
      <w:r w:rsidRPr="002E6B06">
        <w:rPr>
          <w:rFonts w:ascii="Arial" w:hAnsi="Arial" w:cs="Arial"/>
        </w:rPr>
        <w:t>culture-positive cases</w:t>
      </w:r>
    </w:p>
    <w:p w14:paraId="2AF9F399" w14:textId="77777777" w:rsidR="00161116" w:rsidRPr="002E6B06" w:rsidRDefault="00161116" w:rsidP="00161116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Includes sputum nucleic acid amplification positive (GeneXpert) but culture-negative</w:t>
      </w:r>
    </w:p>
    <w:p w14:paraId="5202F40C" w14:textId="77777777" w:rsidR="00161116" w:rsidRPr="002E6B06" w:rsidRDefault="00161116" w:rsidP="0016111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All other respiratory culture-positive cases</w:t>
      </w:r>
    </w:p>
    <w:p w14:paraId="5659446E" w14:textId="77777777" w:rsidR="00161116" w:rsidRPr="002E6B06" w:rsidRDefault="00161116" w:rsidP="00161116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Bronchial washing or bronchial alveolar lavage</w:t>
      </w:r>
    </w:p>
    <w:p w14:paraId="39A30228" w14:textId="77777777" w:rsidR="00161116" w:rsidRPr="002E6B06" w:rsidRDefault="00161116" w:rsidP="00161116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Lung biopsy</w:t>
      </w:r>
    </w:p>
    <w:p w14:paraId="3D969C56" w14:textId="0865F299" w:rsidR="00161116" w:rsidRPr="002E6B06" w:rsidRDefault="00161116" w:rsidP="00161116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Any other respiratory site </w:t>
      </w:r>
    </w:p>
    <w:p w14:paraId="55F866FB" w14:textId="77777777" w:rsidR="00161116" w:rsidRPr="002E6B06" w:rsidRDefault="00161116" w:rsidP="00161116">
      <w:pPr>
        <w:pStyle w:val="ListParagraph"/>
        <w:ind w:left="1080"/>
        <w:rPr>
          <w:rFonts w:ascii="Arial" w:hAnsi="Arial" w:cs="Arial"/>
        </w:rPr>
      </w:pPr>
    </w:p>
    <w:p w14:paraId="20845DB7" w14:textId="1C1F092E" w:rsidR="00161116" w:rsidRPr="002E6B06" w:rsidRDefault="00161116" w:rsidP="00C7027C">
      <w:p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*It is recommended that contacts to all pulmonary TB cases be entered in NEDSS, but data will </w:t>
      </w:r>
      <w:r w:rsidR="005A6216" w:rsidRPr="002E6B06">
        <w:rPr>
          <w:rFonts w:ascii="Arial" w:hAnsi="Arial" w:cs="Arial"/>
        </w:rPr>
        <w:t>only</w:t>
      </w:r>
      <w:r w:rsidRPr="002E6B06">
        <w:rPr>
          <w:rFonts w:ascii="Arial" w:hAnsi="Arial" w:cs="Arial"/>
        </w:rPr>
        <w:t xml:space="preserve"> be reported to CDC if </w:t>
      </w:r>
      <w:r w:rsidR="005A6216" w:rsidRPr="002E6B06">
        <w:rPr>
          <w:rFonts w:ascii="Arial" w:hAnsi="Arial" w:cs="Arial"/>
        </w:rPr>
        <w:t xml:space="preserve">cases </w:t>
      </w:r>
      <w:r w:rsidRPr="002E6B06">
        <w:rPr>
          <w:rFonts w:ascii="Arial" w:hAnsi="Arial" w:cs="Arial"/>
        </w:rPr>
        <w:t xml:space="preserve">meet the above listed criteria. </w:t>
      </w:r>
    </w:p>
    <w:p w14:paraId="34EFF568" w14:textId="74A67929" w:rsidR="00C14AF5" w:rsidRPr="002E6B06" w:rsidRDefault="00C14AF5" w:rsidP="00C7027C">
      <w:pPr>
        <w:rPr>
          <w:rFonts w:ascii="Arial" w:hAnsi="Arial" w:cs="Arial"/>
        </w:rPr>
      </w:pPr>
    </w:p>
    <w:p w14:paraId="318306B1" w14:textId="2632986F" w:rsidR="00C14AF5" w:rsidRDefault="00C14AF5" w:rsidP="00C7027C">
      <w:pPr>
        <w:rPr>
          <w:rFonts w:ascii="Arial" w:hAnsi="Arial" w:cs="Arial"/>
          <w:b/>
          <w:bCs/>
          <w:u w:val="single"/>
        </w:rPr>
      </w:pPr>
      <w:r w:rsidRPr="002E6B06">
        <w:rPr>
          <w:rFonts w:ascii="Arial" w:hAnsi="Arial" w:cs="Arial"/>
          <w:b/>
          <w:bCs/>
          <w:u w:val="single"/>
        </w:rPr>
        <w:t>Contact</w:t>
      </w:r>
      <w:r w:rsidR="00161116" w:rsidRPr="002E6B06">
        <w:rPr>
          <w:rFonts w:ascii="Arial" w:hAnsi="Arial" w:cs="Arial"/>
          <w:b/>
          <w:bCs/>
          <w:u w:val="single"/>
        </w:rPr>
        <w:t xml:space="preserve"> </w:t>
      </w:r>
      <w:r w:rsidR="00F831DB" w:rsidRPr="002E6B06">
        <w:rPr>
          <w:rFonts w:ascii="Arial" w:hAnsi="Arial" w:cs="Arial"/>
          <w:b/>
          <w:bCs/>
          <w:u w:val="single"/>
        </w:rPr>
        <w:t xml:space="preserve">Tracing </w:t>
      </w:r>
      <w:r w:rsidR="00B46DE5">
        <w:rPr>
          <w:rFonts w:ascii="Arial" w:hAnsi="Arial" w:cs="Arial"/>
          <w:b/>
          <w:bCs/>
          <w:u w:val="single"/>
        </w:rPr>
        <w:t>Page</w:t>
      </w:r>
    </w:p>
    <w:p w14:paraId="350151E8" w14:textId="77777777" w:rsidR="00D94589" w:rsidRDefault="00D94589" w:rsidP="00C7027C">
      <w:pPr>
        <w:rPr>
          <w:rFonts w:ascii="Arial" w:hAnsi="Arial" w:cs="Arial"/>
          <w:b/>
          <w:bCs/>
          <w:u w:val="single"/>
        </w:rPr>
      </w:pPr>
    </w:p>
    <w:p w14:paraId="0EA5441B" w14:textId="2DB5C681" w:rsidR="00D94589" w:rsidRPr="00E40E04" w:rsidRDefault="00D94589" w:rsidP="00E40E04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E40E04">
        <w:rPr>
          <w:rFonts w:ascii="Arial" w:hAnsi="Arial" w:cs="Arial"/>
        </w:rPr>
        <w:t xml:space="preserve">Enter the </w:t>
      </w:r>
      <w:r w:rsidR="00E40E04" w:rsidRPr="00E40E04">
        <w:rPr>
          <w:rFonts w:ascii="Arial" w:hAnsi="Arial" w:cs="Arial"/>
        </w:rPr>
        <w:t>Contact Investigation Priority and infectious period start and end dates for the TB case.</w:t>
      </w:r>
    </w:p>
    <w:p w14:paraId="09010BB4" w14:textId="18CEAE68" w:rsidR="00E40E04" w:rsidRPr="00E40E04" w:rsidRDefault="00E40E04" w:rsidP="00E40E04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E40E04">
        <w:rPr>
          <w:rFonts w:ascii="Arial" w:hAnsi="Arial" w:cs="Arial"/>
        </w:rPr>
        <w:t>The contact investigation status should be marked as open</w:t>
      </w:r>
      <w:r>
        <w:rPr>
          <w:rFonts w:ascii="Arial" w:hAnsi="Arial" w:cs="Arial"/>
        </w:rPr>
        <w:t xml:space="preserve"> until all contact investigation activities are complete</w:t>
      </w:r>
      <w:r w:rsidRPr="00E40E04">
        <w:rPr>
          <w:rFonts w:ascii="Arial" w:hAnsi="Arial" w:cs="Arial"/>
        </w:rPr>
        <w:t>.</w:t>
      </w:r>
    </w:p>
    <w:p w14:paraId="465EB30B" w14:textId="47FA589B" w:rsidR="00E40E04" w:rsidRPr="00E40E04" w:rsidRDefault="00E40E04" w:rsidP="00E40E04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E40E04">
        <w:rPr>
          <w:rFonts w:ascii="Arial" w:hAnsi="Arial" w:cs="Arial"/>
        </w:rPr>
        <w:t xml:space="preserve">Enter large contact investigation data and other general comments about the contact investigation in the comments section.  </w:t>
      </w:r>
    </w:p>
    <w:p w14:paraId="6884EA84" w14:textId="4E25B3AD" w:rsidR="00161116" w:rsidRPr="002E6B06" w:rsidRDefault="00161116" w:rsidP="00C7027C">
      <w:pPr>
        <w:rPr>
          <w:rFonts w:ascii="Arial" w:hAnsi="Arial" w:cs="Arial"/>
        </w:rPr>
      </w:pPr>
    </w:p>
    <w:p w14:paraId="176AD901" w14:textId="46652B8F" w:rsidR="00161116" w:rsidRDefault="00161116" w:rsidP="00C7027C">
      <w:pPr>
        <w:rPr>
          <w:rFonts w:ascii="Arial" w:hAnsi="Arial" w:cs="Arial"/>
          <w:b/>
          <w:bCs/>
          <w:u w:val="single"/>
        </w:rPr>
      </w:pPr>
      <w:r w:rsidRPr="002E6B06">
        <w:rPr>
          <w:rFonts w:ascii="Arial" w:hAnsi="Arial" w:cs="Arial"/>
          <w:b/>
          <w:bCs/>
          <w:u w:val="single"/>
        </w:rPr>
        <w:t>Contact Record</w:t>
      </w:r>
      <w:r w:rsidR="00E40E04">
        <w:rPr>
          <w:rFonts w:ascii="Arial" w:hAnsi="Arial" w:cs="Arial"/>
          <w:b/>
          <w:bCs/>
          <w:u w:val="single"/>
        </w:rPr>
        <w:t>s</w:t>
      </w:r>
      <w:r w:rsidRPr="002E6B06">
        <w:rPr>
          <w:rFonts w:ascii="Arial" w:hAnsi="Arial" w:cs="Arial"/>
          <w:b/>
          <w:bCs/>
          <w:u w:val="single"/>
        </w:rPr>
        <w:t xml:space="preserve"> </w:t>
      </w:r>
      <w:r w:rsidR="00B46DE5">
        <w:rPr>
          <w:rFonts w:ascii="Arial" w:hAnsi="Arial" w:cs="Arial"/>
          <w:b/>
          <w:bCs/>
          <w:u w:val="single"/>
        </w:rPr>
        <w:t>Page</w:t>
      </w:r>
    </w:p>
    <w:p w14:paraId="67472CED" w14:textId="77777777" w:rsidR="00D94589" w:rsidRDefault="00D94589" w:rsidP="00C7027C">
      <w:pPr>
        <w:rPr>
          <w:rFonts w:ascii="Arial" w:hAnsi="Arial" w:cs="Arial"/>
          <w:b/>
          <w:bCs/>
          <w:u w:val="single"/>
        </w:rPr>
      </w:pPr>
    </w:p>
    <w:p w14:paraId="031174DC" w14:textId="617E2717" w:rsidR="00CB1228" w:rsidRDefault="00D94589" w:rsidP="00D94589">
      <w:pPr>
        <w:rPr>
          <w:rFonts w:ascii="Arial" w:hAnsi="Arial" w:cs="Arial"/>
        </w:rPr>
      </w:pPr>
      <w:r w:rsidRPr="002E6B06">
        <w:rPr>
          <w:rFonts w:ascii="Arial" w:hAnsi="Arial" w:cs="Arial"/>
        </w:rPr>
        <w:t>Enter or update demographic information for the contact including country of birth, race, and ethnicity</w:t>
      </w:r>
      <w:r>
        <w:rPr>
          <w:rFonts w:ascii="Arial" w:hAnsi="Arial" w:cs="Arial"/>
        </w:rPr>
        <w:t xml:space="preserve"> in the </w:t>
      </w:r>
      <w:r w:rsidR="00CB122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ontact </w:t>
      </w:r>
      <w:r w:rsidR="00CB1228">
        <w:rPr>
          <w:rFonts w:ascii="Arial" w:hAnsi="Arial" w:cs="Arial"/>
        </w:rPr>
        <w:t>page</w:t>
      </w:r>
      <w:r>
        <w:rPr>
          <w:rFonts w:ascii="Arial" w:hAnsi="Arial" w:cs="Arial"/>
        </w:rPr>
        <w:t>.</w:t>
      </w:r>
      <w:r w:rsidR="00CB1228">
        <w:rPr>
          <w:rFonts w:ascii="Arial" w:hAnsi="Arial" w:cs="Arial"/>
        </w:rPr>
        <w:t xml:space="preserve">  </w:t>
      </w:r>
    </w:p>
    <w:p w14:paraId="582E7422" w14:textId="77777777" w:rsidR="00CB1228" w:rsidRDefault="00CB1228" w:rsidP="00D94589">
      <w:pPr>
        <w:rPr>
          <w:rFonts w:ascii="Arial" w:hAnsi="Arial" w:cs="Arial"/>
        </w:rPr>
      </w:pPr>
    </w:p>
    <w:p w14:paraId="2FB61B0F" w14:textId="6AFE40FF" w:rsidR="00CB1228" w:rsidRPr="002E6B06" w:rsidRDefault="00CB1228" w:rsidP="00D94589">
      <w:pPr>
        <w:rPr>
          <w:rFonts w:ascii="Arial" w:hAnsi="Arial" w:cs="Arial"/>
        </w:rPr>
      </w:pPr>
      <w:r>
        <w:rPr>
          <w:rFonts w:ascii="Arial" w:hAnsi="Arial" w:cs="Arial"/>
        </w:rPr>
        <w:t>Exposure, testing, and treatment information are entered in the contact record and contact follow up pages.</w:t>
      </w:r>
    </w:p>
    <w:p w14:paraId="3674CDBC" w14:textId="77777777" w:rsidR="00C7027C" w:rsidRPr="002E6B06" w:rsidRDefault="00C7027C" w:rsidP="00C7027C">
      <w:pPr>
        <w:rPr>
          <w:rFonts w:ascii="Arial" w:hAnsi="Arial" w:cs="Arial"/>
          <w:i/>
        </w:rPr>
      </w:pPr>
    </w:p>
    <w:p w14:paraId="2E6B18AA" w14:textId="77777777" w:rsidR="00CB1228" w:rsidRDefault="00CB1228" w:rsidP="00C7027C">
      <w:pPr>
        <w:rPr>
          <w:rFonts w:ascii="Arial" w:hAnsi="Arial" w:cs="Arial"/>
          <w:b/>
          <w:iCs/>
        </w:rPr>
      </w:pPr>
    </w:p>
    <w:p w14:paraId="13329E21" w14:textId="77777777" w:rsidR="00CB1228" w:rsidRDefault="00CB1228" w:rsidP="00C7027C">
      <w:pPr>
        <w:rPr>
          <w:rFonts w:ascii="Arial" w:hAnsi="Arial" w:cs="Arial"/>
          <w:b/>
          <w:iCs/>
        </w:rPr>
      </w:pPr>
    </w:p>
    <w:p w14:paraId="61BA4DCA" w14:textId="77777777" w:rsidR="00CB1228" w:rsidRDefault="00CB1228" w:rsidP="00C7027C">
      <w:pPr>
        <w:rPr>
          <w:rFonts w:ascii="Arial" w:hAnsi="Arial" w:cs="Arial"/>
          <w:b/>
          <w:iCs/>
        </w:rPr>
      </w:pPr>
    </w:p>
    <w:p w14:paraId="7FCB15E9" w14:textId="17E906E5" w:rsidR="006544D3" w:rsidRDefault="00E0112B" w:rsidP="00C7027C">
      <w:pPr>
        <w:rPr>
          <w:rFonts w:ascii="Arial" w:hAnsi="Arial" w:cs="Arial"/>
          <w:b/>
          <w:iCs/>
        </w:rPr>
      </w:pPr>
      <w:r w:rsidRPr="002E6B06">
        <w:rPr>
          <w:rFonts w:ascii="Arial" w:hAnsi="Arial" w:cs="Arial"/>
          <w:b/>
          <w:iCs/>
        </w:rPr>
        <w:lastRenderedPageBreak/>
        <w:t>Contact</w:t>
      </w:r>
      <w:r w:rsidR="006544D3" w:rsidRPr="002E6B06">
        <w:rPr>
          <w:rFonts w:ascii="Arial" w:hAnsi="Arial" w:cs="Arial"/>
          <w:b/>
          <w:iCs/>
        </w:rPr>
        <w:t xml:space="preserve"> priority</w:t>
      </w:r>
    </w:p>
    <w:p w14:paraId="1D621D31" w14:textId="77777777" w:rsidR="009B009E" w:rsidRPr="002E6B06" w:rsidRDefault="009B009E" w:rsidP="00C7027C">
      <w:pPr>
        <w:rPr>
          <w:rFonts w:ascii="Arial" w:hAnsi="Arial" w:cs="Arial"/>
          <w:b/>
          <w:iCs/>
        </w:rPr>
      </w:pPr>
    </w:p>
    <w:p w14:paraId="7E9DC263" w14:textId="61BD87B2" w:rsidR="00E0112B" w:rsidRDefault="00C7027C" w:rsidP="00C7027C">
      <w:p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Indicate the </w:t>
      </w:r>
      <w:r w:rsidR="00032473" w:rsidRPr="002E6B06">
        <w:rPr>
          <w:rFonts w:ascii="Arial" w:hAnsi="Arial" w:cs="Arial"/>
        </w:rPr>
        <w:t xml:space="preserve">priority category </w:t>
      </w:r>
      <w:r w:rsidR="00E40E04">
        <w:rPr>
          <w:rFonts w:ascii="Arial" w:hAnsi="Arial" w:cs="Arial"/>
        </w:rPr>
        <w:t xml:space="preserve">in the contact record section </w:t>
      </w:r>
      <w:r w:rsidR="00032473" w:rsidRPr="002E6B06">
        <w:rPr>
          <w:rFonts w:ascii="Arial" w:hAnsi="Arial" w:cs="Arial"/>
        </w:rPr>
        <w:t xml:space="preserve">for </w:t>
      </w:r>
      <w:r w:rsidR="00E0112B" w:rsidRPr="002E6B06">
        <w:rPr>
          <w:rFonts w:ascii="Arial" w:hAnsi="Arial" w:cs="Arial"/>
        </w:rPr>
        <w:t>contacts identified</w:t>
      </w:r>
      <w:r w:rsidR="00032473" w:rsidRPr="002E6B06">
        <w:rPr>
          <w:rFonts w:ascii="Arial" w:hAnsi="Arial" w:cs="Arial"/>
        </w:rPr>
        <w:t xml:space="preserve"> and entered in NEDSS</w:t>
      </w:r>
      <w:r w:rsidR="00B46DE5">
        <w:rPr>
          <w:rFonts w:ascii="Arial" w:hAnsi="Arial" w:cs="Arial"/>
        </w:rPr>
        <w:t>.</w:t>
      </w:r>
    </w:p>
    <w:p w14:paraId="3BA89EB7" w14:textId="77777777" w:rsidR="00B46DE5" w:rsidRPr="002E6B06" w:rsidRDefault="00B46DE5" w:rsidP="00C7027C">
      <w:pPr>
        <w:rPr>
          <w:rFonts w:ascii="Arial" w:hAnsi="Arial" w:cs="Arial"/>
        </w:rPr>
      </w:pPr>
    </w:p>
    <w:p w14:paraId="05373B0B" w14:textId="169E43EE" w:rsidR="00E0112B" w:rsidRPr="002E6B06" w:rsidRDefault="00C7027C" w:rsidP="00C7027C">
      <w:pPr>
        <w:numPr>
          <w:ilvl w:val="0"/>
          <w:numId w:val="5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High</w:t>
      </w:r>
      <w:r w:rsidR="00E0112B" w:rsidRPr="002E6B06">
        <w:rPr>
          <w:rFonts w:ascii="Arial" w:hAnsi="Arial" w:cs="Arial"/>
        </w:rPr>
        <w:t xml:space="preserve"> priority contacts should include the following: </w:t>
      </w:r>
    </w:p>
    <w:p w14:paraId="32E0B7D7" w14:textId="77777777" w:rsidR="00E0112B" w:rsidRPr="002E6B06" w:rsidRDefault="00E0112B" w:rsidP="00C7027C">
      <w:pPr>
        <w:numPr>
          <w:ilvl w:val="1"/>
          <w:numId w:val="5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Household type (such as live-in family members, close co-workers and friends)</w:t>
      </w:r>
      <w:r w:rsidR="00405EB0" w:rsidRPr="002E6B06">
        <w:rPr>
          <w:rFonts w:ascii="Arial" w:hAnsi="Arial" w:cs="Arial"/>
        </w:rPr>
        <w:t>.</w:t>
      </w:r>
    </w:p>
    <w:p w14:paraId="71F97856" w14:textId="77777777" w:rsidR="00405EB0" w:rsidRPr="002E6B06" w:rsidRDefault="00E0112B" w:rsidP="00C7027C">
      <w:pPr>
        <w:numPr>
          <w:ilvl w:val="1"/>
          <w:numId w:val="5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 Contacts &lt;5 years old,</w:t>
      </w:r>
    </w:p>
    <w:p w14:paraId="0A8A7527" w14:textId="77777777" w:rsidR="00405EB0" w:rsidRPr="002E6B06" w:rsidRDefault="00405EB0" w:rsidP="00C7027C">
      <w:pPr>
        <w:numPr>
          <w:ilvl w:val="1"/>
          <w:numId w:val="5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 T</w:t>
      </w:r>
      <w:r w:rsidR="00E0112B" w:rsidRPr="002E6B06">
        <w:rPr>
          <w:rFonts w:ascii="Arial" w:hAnsi="Arial" w:cs="Arial"/>
        </w:rPr>
        <w:t>hose with medical risk factors (such as HIV infection or other immune</w:t>
      </w:r>
      <w:r w:rsidRPr="002E6B06">
        <w:rPr>
          <w:rFonts w:ascii="Arial" w:hAnsi="Arial" w:cs="Arial"/>
        </w:rPr>
        <w:t>- compromising condition).</w:t>
      </w:r>
    </w:p>
    <w:p w14:paraId="7CBD2105" w14:textId="77777777" w:rsidR="00E0112B" w:rsidRPr="002E6B06" w:rsidRDefault="00405EB0" w:rsidP="00C7027C">
      <w:pPr>
        <w:numPr>
          <w:ilvl w:val="1"/>
          <w:numId w:val="5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 E</w:t>
      </w:r>
      <w:r w:rsidR="00E0112B" w:rsidRPr="002E6B06">
        <w:rPr>
          <w:rFonts w:ascii="Arial" w:hAnsi="Arial" w:cs="Arial"/>
        </w:rPr>
        <w:t>xposure during medical procedures (such as bronchoscop</w:t>
      </w:r>
      <w:r w:rsidRPr="002E6B06">
        <w:rPr>
          <w:rFonts w:ascii="Arial" w:hAnsi="Arial" w:cs="Arial"/>
        </w:rPr>
        <w:t>y, sputum induction or autopsy).</w:t>
      </w:r>
    </w:p>
    <w:p w14:paraId="415B4093" w14:textId="77777777" w:rsidR="00AE1AD8" w:rsidRPr="002E6B06" w:rsidRDefault="00E0112B" w:rsidP="00C7027C">
      <w:pPr>
        <w:numPr>
          <w:ilvl w:val="1"/>
          <w:numId w:val="5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 Contacts with exposure in congregate settings as determined by patient interview and the concentric circle approach.</w:t>
      </w:r>
    </w:p>
    <w:p w14:paraId="7EA8C46F" w14:textId="1681546A" w:rsidR="00C7027C" w:rsidRPr="002E6B06" w:rsidRDefault="00AE1AD8" w:rsidP="00AE1AD8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2E6B06">
        <w:rPr>
          <w:rFonts w:ascii="Arial" w:hAnsi="Arial" w:cs="Arial"/>
        </w:rPr>
        <w:t>Medium priority contacts</w:t>
      </w:r>
      <w:r w:rsidRPr="002E6B06">
        <w:rPr>
          <w:rFonts w:ascii="Arial" w:hAnsi="Arial" w:cs="Arial"/>
          <w:b/>
          <w:bCs/>
        </w:rPr>
        <w:t xml:space="preserve"> </w:t>
      </w:r>
      <w:r w:rsidRPr="002E6B06">
        <w:rPr>
          <w:rFonts w:ascii="Arial" w:hAnsi="Arial" w:cs="Arial"/>
        </w:rPr>
        <w:t xml:space="preserve">are those who don’t meet the criteria for high priority but </w:t>
      </w:r>
      <w:r w:rsidR="00505F11" w:rsidRPr="002E6B06">
        <w:rPr>
          <w:rFonts w:ascii="Arial" w:hAnsi="Arial" w:cs="Arial"/>
        </w:rPr>
        <w:t>have been exposed and have been determined by the LHD to need testing.</w:t>
      </w:r>
    </w:p>
    <w:p w14:paraId="2B84CDD6" w14:textId="791C0154" w:rsidR="00E0112B" w:rsidRPr="002E6B06" w:rsidRDefault="00E0112B" w:rsidP="00C7027C">
      <w:pPr>
        <w:numPr>
          <w:ilvl w:val="0"/>
          <w:numId w:val="5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Low priority </w:t>
      </w:r>
      <w:r w:rsidR="00AE1AD8" w:rsidRPr="002E6B06">
        <w:rPr>
          <w:rFonts w:ascii="Arial" w:hAnsi="Arial" w:cs="Arial"/>
        </w:rPr>
        <w:t xml:space="preserve">contacts </w:t>
      </w:r>
      <w:r w:rsidRPr="002E6B06">
        <w:rPr>
          <w:rFonts w:ascii="Arial" w:hAnsi="Arial" w:cs="Arial"/>
        </w:rPr>
        <w:t xml:space="preserve">should only be </w:t>
      </w:r>
      <w:r w:rsidR="00032473" w:rsidRPr="002E6B06">
        <w:rPr>
          <w:rFonts w:ascii="Arial" w:hAnsi="Arial" w:cs="Arial"/>
        </w:rPr>
        <w:t xml:space="preserve">entered </w:t>
      </w:r>
      <w:r w:rsidRPr="002E6B06">
        <w:rPr>
          <w:rFonts w:ascii="Arial" w:hAnsi="Arial" w:cs="Arial"/>
        </w:rPr>
        <w:t>for testing that has been done for good will or administrative purposes and should be minimal (</w:t>
      </w:r>
      <w:r w:rsidR="00AF3254" w:rsidRPr="002E6B06">
        <w:rPr>
          <w:rFonts w:ascii="Arial" w:hAnsi="Arial" w:cs="Arial"/>
        </w:rPr>
        <w:t>e.g.</w:t>
      </w:r>
      <w:r w:rsidRPr="002E6B06">
        <w:rPr>
          <w:rFonts w:ascii="Arial" w:hAnsi="Arial" w:cs="Arial"/>
        </w:rPr>
        <w:t>, worksite</w:t>
      </w:r>
      <w:r w:rsidR="00405EB0" w:rsidRPr="002E6B06">
        <w:rPr>
          <w:rFonts w:ascii="Arial" w:hAnsi="Arial" w:cs="Arial"/>
        </w:rPr>
        <w:t xml:space="preserve"> or school</w:t>
      </w:r>
      <w:r w:rsidRPr="002E6B06">
        <w:rPr>
          <w:rFonts w:ascii="Arial" w:hAnsi="Arial" w:cs="Arial"/>
        </w:rPr>
        <w:t xml:space="preserve"> contacts </w:t>
      </w:r>
      <w:r w:rsidR="006544D3" w:rsidRPr="002E6B06">
        <w:rPr>
          <w:rFonts w:ascii="Arial" w:hAnsi="Arial" w:cs="Arial"/>
        </w:rPr>
        <w:t>who</w:t>
      </w:r>
      <w:r w:rsidRPr="002E6B06">
        <w:rPr>
          <w:rFonts w:ascii="Arial" w:hAnsi="Arial" w:cs="Arial"/>
        </w:rPr>
        <w:t xml:space="preserve"> have no direct contact with the index case).</w:t>
      </w:r>
    </w:p>
    <w:p w14:paraId="0B4DE3FC" w14:textId="77777777" w:rsidR="00B33EA2" w:rsidRPr="002E6B06" w:rsidRDefault="00B33EA2" w:rsidP="00B33EA2">
      <w:pPr>
        <w:ind w:left="360"/>
        <w:rPr>
          <w:rFonts w:ascii="Arial" w:hAnsi="Arial" w:cs="Arial"/>
        </w:rPr>
      </w:pPr>
    </w:p>
    <w:p w14:paraId="5AF37DF5" w14:textId="5360F2F2" w:rsidR="00B33EA2" w:rsidRPr="002E6B06" w:rsidRDefault="00B33EA2" w:rsidP="00B33EA2">
      <w:pPr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If you do not have enough information to locate the </w:t>
      </w:r>
      <w:r w:rsidR="004C24FB" w:rsidRPr="002E6B06">
        <w:rPr>
          <w:rFonts w:ascii="Arial" w:hAnsi="Arial" w:cs="Arial"/>
        </w:rPr>
        <w:t>contact,</w:t>
      </w:r>
      <w:r w:rsidRPr="002E6B06">
        <w:rPr>
          <w:rFonts w:ascii="Arial" w:hAnsi="Arial" w:cs="Arial"/>
        </w:rPr>
        <w:t xml:space="preserve"> then you do not need to enter them into NEDSS or count them as a contact for data reporting purposes. </w:t>
      </w:r>
    </w:p>
    <w:p w14:paraId="5BF45138" w14:textId="77777777" w:rsidR="009C047A" w:rsidRPr="002E6B06" w:rsidRDefault="009C047A" w:rsidP="000C5499">
      <w:pPr>
        <w:rPr>
          <w:rFonts w:ascii="Arial" w:hAnsi="Arial" w:cs="Arial"/>
          <w:b/>
          <w:bCs/>
          <w:u w:val="single"/>
        </w:rPr>
      </w:pPr>
    </w:p>
    <w:p w14:paraId="0C574B67" w14:textId="7EFB2418" w:rsidR="009C047A" w:rsidRDefault="009D7FED" w:rsidP="009C047A">
      <w:pPr>
        <w:pStyle w:val="BodyText"/>
        <w:jc w:val="left"/>
        <w:rPr>
          <w:rFonts w:ascii="Arial" w:hAnsi="Arial" w:cs="Arial"/>
          <w:b/>
          <w:bCs/>
        </w:rPr>
      </w:pPr>
      <w:r w:rsidRPr="002E6B06">
        <w:rPr>
          <w:rFonts w:ascii="Arial" w:hAnsi="Arial" w:cs="Arial"/>
          <w:b/>
          <w:bCs/>
        </w:rPr>
        <w:t>Disposition</w:t>
      </w:r>
    </w:p>
    <w:p w14:paraId="469FFE8E" w14:textId="77777777" w:rsidR="009B009E" w:rsidRPr="002E6B06" w:rsidRDefault="009B009E" w:rsidP="009C047A">
      <w:pPr>
        <w:pStyle w:val="BodyText"/>
        <w:jc w:val="left"/>
        <w:rPr>
          <w:rFonts w:ascii="Arial" w:hAnsi="Arial" w:cs="Arial"/>
          <w:b/>
          <w:bCs/>
        </w:rPr>
      </w:pPr>
    </w:p>
    <w:p w14:paraId="03A49E3D" w14:textId="239CB9EF" w:rsidR="00B74D91" w:rsidRPr="002E6B06" w:rsidRDefault="00B74D91" w:rsidP="009C047A">
      <w:pPr>
        <w:pStyle w:val="BodyText"/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A disposition must be entered, or the contact record will not be able to be submitted.  Until </w:t>
      </w:r>
      <w:r w:rsidR="00EA76FF" w:rsidRPr="002E6B06">
        <w:rPr>
          <w:rFonts w:ascii="Arial" w:hAnsi="Arial" w:cs="Arial"/>
        </w:rPr>
        <w:t>a final disposition has been determined you</w:t>
      </w:r>
      <w:r w:rsidRPr="002E6B06">
        <w:rPr>
          <w:rFonts w:ascii="Arial" w:hAnsi="Arial" w:cs="Arial"/>
        </w:rPr>
        <w:t xml:space="preserve"> will need to mark “other” </w:t>
      </w:r>
      <w:r w:rsidR="00B46DE5">
        <w:rPr>
          <w:rFonts w:ascii="Arial" w:hAnsi="Arial" w:cs="Arial"/>
        </w:rPr>
        <w:t>and update when</w:t>
      </w:r>
      <w:r w:rsidRPr="002E6B06">
        <w:rPr>
          <w:rFonts w:ascii="Arial" w:hAnsi="Arial" w:cs="Arial"/>
        </w:rPr>
        <w:t xml:space="preserve"> a final disposition has been determined</w:t>
      </w:r>
      <w:r w:rsidR="00B46DE5">
        <w:rPr>
          <w:rFonts w:ascii="Arial" w:hAnsi="Arial" w:cs="Arial"/>
        </w:rPr>
        <w:t>.</w:t>
      </w:r>
      <w:r w:rsidRPr="002E6B06">
        <w:rPr>
          <w:rFonts w:ascii="Arial" w:hAnsi="Arial" w:cs="Arial"/>
        </w:rPr>
        <w:t xml:space="preserve"> </w:t>
      </w:r>
    </w:p>
    <w:p w14:paraId="1AABC998" w14:textId="77777777" w:rsidR="00B74D91" w:rsidRPr="002E6B06" w:rsidRDefault="00B74D91" w:rsidP="009C047A">
      <w:pPr>
        <w:pStyle w:val="BodyText"/>
        <w:jc w:val="left"/>
        <w:rPr>
          <w:rFonts w:ascii="Arial" w:hAnsi="Arial" w:cs="Arial"/>
          <w:b/>
          <w:bCs/>
        </w:rPr>
      </w:pPr>
    </w:p>
    <w:p w14:paraId="0A3A9A8A" w14:textId="77777777" w:rsidR="009D7FED" w:rsidRPr="005D2632" w:rsidRDefault="009D7FED" w:rsidP="005D263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5D2632">
        <w:rPr>
          <w:rFonts w:ascii="Arial" w:hAnsi="Arial" w:cs="Arial"/>
        </w:rPr>
        <w:t>Confirmed TB disease:</w:t>
      </w:r>
    </w:p>
    <w:p w14:paraId="1D2B702A" w14:textId="1FE56DB9" w:rsidR="009D7FED" w:rsidRPr="005D2632" w:rsidRDefault="009D7FED" w:rsidP="005D2632">
      <w:pPr>
        <w:pStyle w:val="ListParagraph"/>
        <w:rPr>
          <w:rFonts w:ascii="Arial" w:hAnsi="Arial" w:cs="Arial"/>
        </w:rPr>
      </w:pPr>
      <w:r w:rsidRPr="005D2632">
        <w:rPr>
          <w:rFonts w:ascii="Arial" w:hAnsi="Arial" w:cs="Arial"/>
        </w:rPr>
        <w:t xml:space="preserve">The contact has been diagnosed with TB disease during the initial evaluation as a contact.  </w:t>
      </w:r>
      <w:r w:rsidR="00F831DB" w:rsidRPr="005D2632">
        <w:rPr>
          <w:rFonts w:ascii="Arial" w:hAnsi="Arial" w:cs="Arial"/>
        </w:rPr>
        <w:t>Testing and t</w:t>
      </w:r>
      <w:r w:rsidRPr="005D2632">
        <w:rPr>
          <w:rFonts w:ascii="Arial" w:hAnsi="Arial" w:cs="Arial"/>
        </w:rPr>
        <w:t>reatment information</w:t>
      </w:r>
      <w:r w:rsidR="00F831DB" w:rsidRPr="005D2632">
        <w:rPr>
          <w:rFonts w:ascii="Arial" w:hAnsi="Arial" w:cs="Arial"/>
        </w:rPr>
        <w:t xml:space="preserve"> will be reported using the RVCT and does not need to be completed</w:t>
      </w:r>
      <w:r w:rsidRPr="005D2632">
        <w:rPr>
          <w:rFonts w:ascii="Arial" w:hAnsi="Arial" w:cs="Arial"/>
        </w:rPr>
        <w:t xml:space="preserve"> in</w:t>
      </w:r>
      <w:r w:rsidR="00D61A20" w:rsidRPr="005D2632">
        <w:rPr>
          <w:rFonts w:ascii="Arial" w:hAnsi="Arial" w:cs="Arial"/>
        </w:rPr>
        <w:t xml:space="preserve"> the contact tracing section </w:t>
      </w:r>
      <w:r w:rsidR="005A6216" w:rsidRPr="005D2632">
        <w:rPr>
          <w:rFonts w:ascii="Arial" w:hAnsi="Arial" w:cs="Arial"/>
        </w:rPr>
        <w:t>of NEDSS</w:t>
      </w:r>
      <w:r w:rsidRPr="005D2632">
        <w:rPr>
          <w:rFonts w:ascii="Arial" w:hAnsi="Arial" w:cs="Arial"/>
        </w:rPr>
        <w:t>.</w:t>
      </w:r>
      <w:r w:rsidR="00D61A20" w:rsidRPr="005D2632">
        <w:rPr>
          <w:rFonts w:ascii="Arial" w:hAnsi="Arial" w:cs="Arial"/>
        </w:rPr>
        <w:t xml:space="preserve">  </w:t>
      </w:r>
    </w:p>
    <w:p w14:paraId="1B322442" w14:textId="3371E502" w:rsidR="00F831DB" w:rsidRPr="005D2632" w:rsidRDefault="00F831DB" w:rsidP="005D2632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5D2632">
        <w:rPr>
          <w:rFonts w:ascii="Arial" w:hAnsi="Arial" w:cs="Arial"/>
        </w:rPr>
        <w:t>Enter the TB state case number in the linking state case number section.</w:t>
      </w:r>
    </w:p>
    <w:p w14:paraId="3ADB40D4" w14:textId="77777777" w:rsidR="00F831DB" w:rsidRPr="002E6B06" w:rsidRDefault="00F831DB" w:rsidP="009D7FED">
      <w:pPr>
        <w:rPr>
          <w:rFonts w:ascii="Arial" w:hAnsi="Arial" w:cs="Arial"/>
        </w:rPr>
      </w:pPr>
    </w:p>
    <w:p w14:paraId="267ABC99" w14:textId="6CB27177" w:rsidR="009D7FED" w:rsidRPr="002E6B06" w:rsidRDefault="009D7FED" w:rsidP="005D2632">
      <w:pPr>
        <w:pStyle w:val="ListBullet"/>
        <w:numPr>
          <w:ilvl w:val="0"/>
          <w:numId w:val="28"/>
        </w:numPr>
        <w:rPr>
          <w:rFonts w:ascii="Arial" w:hAnsi="Arial" w:cs="Arial"/>
        </w:rPr>
      </w:pPr>
      <w:r w:rsidRPr="002E6B06">
        <w:rPr>
          <w:rFonts w:ascii="Arial" w:hAnsi="Arial" w:cs="Arial"/>
        </w:rPr>
        <w:t>L</w:t>
      </w:r>
      <w:r w:rsidR="00572856" w:rsidRPr="002E6B06">
        <w:rPr>
          <w:rFonts w:ascii="Arial" w:hAnsi="Arial" w:cs="Arial"/>
        </w:rPr>
        <w:t>atent TB infection</w:t>
      </w:r>
      <w:r w:rsidR="00B74D91" w:rsidRPr="002E6B06">
        <w:rPr>
          <w:rFonts w:ascii="Arial" w:hAnsi="Arial" w:cs="Arial"/>
        </w:rPr>
        <w:t xml:space="preserve"> (LTBI)</w:t>
      </w:r>
      <w:r w:rsidR="00572856" w:rsidRPr="002E6B06">
        <w:rPr>
          <w:rFonts w:ascii="Arial" w:hAnsi="Arial" w:cs="Arial"/>
        </w:rPr>
        <w:t>:</w:t>
      </w:r>
    </w:p>
    <w:p w14:paraId="4DA1FC0B" w14:textId="6F787B01" w:rsidR="009D7FED" w:rsidRPr="005D2632" w:rsidRDefault="009D7FED" w:rsidP="005D2632">
      <w:pPr>
        <w:pStyle w:val="ListParagraph"/>
        <w:rPr>
          <w:rFonts w:ascii="Arial" w:hAnsi="Arial" w:cs="Arial"/>
        </w:rPr>
      </w:pPr>
      <w:r w:rsidRPr="005D2632">
        <w:rPr>
          <w:rFonts w:ascii="Arial" w:hAnsi="Arial" w:cs="Arial"/>
        </w:rPr>
        <w:t xml:space="preserve">The contact has completed all necessary testing to rule out TB disease and has been diagnosed with </w:t>
      </w:r>
      <w:r w:rsidR="00B74D91" w:rsidRPr="005D2632">
        <w:rPr>
          <w:rFonts w:ascii="Arial" w:hAnsi="Arial" w:cs="Arial"/>
        </w:rPr>
        <w:t xml:space="preserve">LTBI </w:t>
      </w:r>
      <w:r w:rsidRPr="005D2632">
        <w:rPr>
          <w:rFonts w:ascii="Arial" w:hAnsi="Arial" w:cs="Arial"/>
        </w:rPr>
        <w:t>(negative symptom screen, positive TST or IGRA, CXR and/or sputum</w:t>
      </w:r>
      <w:r w:rsidR="00B74D91" w:rsidRPr="005D2632">
        <w:rPr>
          <w:rFonts w:ascii="Arial" w:hAnsi="Arial" w:cs="Arial"/>
        </w:rPr>
        <w:t xml:space="preserve"> not consistent with</w:t>
      </w:r>
      <w:r w:rsidRPr="005D2632">
        <w:rPr>
          <w:rFonts w:ascii="Arial" w:hAnsi="Arial" w:cs="Arial"/>
        </w:rPr>
        <w:t xml:space="preserve"> TB disease).</w:t>
      </w:r>
      <w:r w:rsidR="00F831DB" w:rsidRPr="005D2632">
        <w:rPr>
          <w:rFonts w:ascii="Arial" w:hAnsi="Arial" w:cs="Arial"/>
        </w:rPr>
        <w:t xml:space="preserve">  </w:t>
      </w:r>
    </w:p>
    <w:p w14:paraId="21C91C8B" w14:textId="77777777" w:rsidR="009D7FED" w:rsidRPr="002E6B06" w:rsidRDefault="009D7FED" w:rsidP="009D7FED">
      <w:pPr>
        <w:rPr>
          <w:rFonts w:ascii="Arial" w:hAnsi="Arial" w:cs="Arial"/>
        </w:rPr>
      </w:pPr>
    </w:p>
    <w:p w14:paraId="28FBEADB" w14:textId="75E999E1" w:rsidR="009D7FED" w:rsidRPr="005D2632" w:rsidRDefault="009D7FED" w:rsidP="005D263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5D2632">
        <w:rPr>
          <w:rFonts w:ascii="Arial" w:hAnsi="Arial" w:cs="Arial"/>
        </w:rPr>
        <w:t xml:space="preserve">No infection or disease: </w:t>
      </w:r>
    </w:p>
    <w:p w14:paraId="1A1F1D68" w14:textId="30463EC8" w:rsidR="009D7FED" w:rsidRPr="002E6B06" w:rsidRDefault="009D7FED" w:rsidP="005D2632">
      <w:pPr>
        <w:pStyle w:val="BodyText"/>
        <w:ind w:left="720"/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>The symptom screen is negative and TST or IGRA completed at least 8 weeks after last exposure to the index case is negative.</w:t>
      </w:r>
    </w:p>
    <w:p w14:paraId="5C8A23DD" w14:textId="77777777" w:rsidR="00B46DE5" w:rsidRPr="002E6B06" w:rsidRDefault="00B46DE5" w:rsidP="009D7FED">
      <w:pPr>
        <w:pStyle w:val="BodyText"/>
        <w:jc w:val="left"/>
        <w:rPr>
          <w:rFonts w:ascii="Arial" w:hAnsi="Arial" w:cs="Arial"/>
        </w:rPr>
      </w:pPr>
    </w:p>
    <w:p w14:paraId="49F65E82" w14:textId="6B629E93" w:rsidR="00B74D91" w:rsidRPr="002E6B06" w:rsidRDefault="009D7FED" w:rsidP="005D2632">
      <w:pPr>
        <w:pStyle w:val="BodyText"/>
        <w:numPr>
          <w:ilvl w:val="0"/>
          <w:numId w:val="28"/>
        </w:numPr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lastRenderedPageBreak/>
        <w:t>Other</w:t>
      </w:r>
      <w:r w:rsidR="00B74D91" w:rsidRPr="002E6B06">
        <w:rPr>
          <w:rFonts w:ascii="Arial" w:hAnsi="Arial" w:cs="Arial"/>
        </w:rPr>
        <w:t>:</w:t>
      </w:r>
    </w:p>
    <w:p w14:paraId="6FD94846" w14:textId="312A972D" w:rsidR="009D7FED" w:rsidRPr="002E6B06" w:rsidRDefault="009D7FED" w:rsidP="005D2632">
      <w:pPr>
        <w:pStyle w:val="BodyText"/>
        <w:numPr>
          <w:ilvl w:val="1"/>
          <w:numId w:val="28"/>
        </w:numPr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>Contacts who are in the evaluation process and have not completed testing.</w:t>
      </w:r>
    </w:p>
    <w:p w14:paraId="4B1E6EAB" w14:textId="7BE07D45" w:rsidR="00B74D91" w:rsidRPr="002E6B06" w:rsidRDefault="009D7FED" w:rsidP="005D2632">
      <w:pPr>
        <w:pStyle w:val="BodyText"/>
        <w:numPr>
          <w:ilvl w:val="1"/>
          <w:numId w:val="28"/>
        </w:numPr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>Contacts on window prophylaxis and have not</w:t>
      </w:r>
      <w:r w:rsidR="00B46DE5">
        <w:rPr>
          <w:rFonts w:ascii="Arial" w:hAnsi="Arial" w:cs="Arial"/>
        </w:rPr>
        <w:t xml:space="preserve"> completed testing.</w:t>
      </w:r>
    </w:p>
    <w:p w14:paraId="5F3CF4CB" w14:textId="3C7A72C9" w:rsidR="009D7FED" w:rsidRPr="002E6B06" w:rsidRDefault="009D7FED" w:rsidP="005D2632">
      <w:pPr>
        <w:pStyle w:val="BodyText"/>
        <w:numPr>
          <w:ilvl w:val="1"/>
          <w:numId w:val="28"/>
        </w:numPr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>Mark the final disposition of LTBI, TB disease, or neither once all testing is complete</w:t>
      </w:r>
      <w:r w:rsidR="00E95FE9" w:rsidRPr="002E6B06">
        <w:rPr>
          <w:rFonts w:ascii="Arial" w:hAnsi="Arial" w:cs="Arial"/>
        </w:rPr>
        <w:t>.</w:t>
      </w:r>
    </w:p>
    <w:p w14:paraId="4B282809" w14:textId="77777777" w:rsidR="00B74D91" w:rsidRPr="002E6B06" w:rsidRDefault="00B74D91" w:rsidP="00B74D91">
      <w:pPr>
        <w:pStyle w:val="BodyText"/>
        <w:ind w:left="1080"/>
        <w:jc w:val="left"/>
        <w:rPr>
          <w:rFonts w:ascii="Arial" w:hAnsi="Arial" w:cs="Arial"/>
        </w:rPr>
      </w:pPr>
    </w:p>
    <w:p w14:paraId="1FD63B19" w14:textId="5F9610EF" w:rsidR="00B74D91" w:rsidRPr="005D2632" w:rsidRDefault="00B74D91" w:rsidP="005D2632">
      <w:pPr>
        <w:pStyle w:val="ListParagraph"/>
        <w:rPr>
          <w:rFonts w:ascii="Arial" w:hAnsi="Arial" w:cs="Arial"/>
        </w:rPr>
      </w:pPr>
      <w:r w:rsidRPr="005D2632">
        <w:rPr>
          <w:rFonts w:ascii="Arial" w:hAnsi="Arial" w:cs="Arial"/>
        </w:rPr>
        <w:t>The “other” status cannot be used as the final disposition.  Additional final disposition categories are available for contacts who do not complete evaluation.</w:t>
      </w:r>
    </w:p>
    <w:p w14:paraId="1B148A2D" w14:textId="7E05A2A8" w:rsidR="00B74D91" w:rsidRPr="002E6B06" w:rsidRDefault="00B74D91" w:rsidP="00B74D91">
      <w:pPr>
        <w:rPr>
          <w:rFonts w:ascii="Arial" w:hAnsi="Arial" w:cs="Arial"/>
        </w:rPr>
      </w:pPr>
    </w:p>
    <w:p w14:paraId="78A5EDD8" w14:textId="1FEC3194" w:rsidR="00B74D91" w:rsidRPr="005D2632" w:rsidRDefault="00B74D91" w:rsidP="005D263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5D2632">
        <w:rPr>
          <w:rFonts w:ascii="Arial" w:hAnsi="Arial" w:cs="Arial"/>
        </w:rPr>
        <w:t>Additional Options:</w:t>
      </w:r>
    </w:p>
    <w:p w14:paraId="03687C64" w14:textId="078729B3" w:rsidR="00B74D91" w:rsidRPr="002E6B06" w:rsidRDefault="00B74D91" w:rsidP="005D2632">
      <w:pPr>
        <w:pStyle w:val="BodyText"/>
        <w:numPr>
          <w:ilvl w:val="1"/>
          <w:numId w:val="28"/>
        </w:numPr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>Patient died:  The contact died during the initial evaluation process unrelated to TB.</w:t>
      </w:r>
    </w:p>
    <w:p w14:paraId="45220748" w14:textId="46CCCDDA" w:rsidR="00B74D91" w:rsidRPr="002E6B06" w:rsidRDefault="00B74D91" w:rsidP="005D2632">
      <w:pPr>
        <w:pStyle w:val="BodyText"/>
        <w:numPr>
          <w:ilvl w:val="1"/>
          <w:numId w:val="28"/>
        </w:numPr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>Patient refused:  The contact refused initial or follow-up testing.</w:t>
      </w:r>
    </w:p>
    <w:p w14:paraId="1211FE84" w14:textId="300AAB57" w:rsidR="00B74D91" w:rsidRPr="002E6B06" w:rsidRDefault="00B74D91" w:rsidP="005D2632">
      <w:pPr>
        <w:pStyle w:val="BodyText"/>
        <w:numPr>
          <w:ilvl w:val="1"/>
          <w:numId w:val="28"/>
        </w:numPr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Lost to follow-up:  The contact is not able to be located.  </w:t>
      </w:r>
    </w:p>
    <w:p w14:paraId="24D3C0C7" w14:textId="77777777" w:rsidR="00B74D91" w:rsidRPr="002E6B06" w:rsidRDefault="00B74D91" w:rsidP="00B74D91">
      <w:pPr>
        <w:pStyle w:val="BodyText"/>
        <w:jc w:val="left"/>
        <w:rPr>
          <w:rFonts w:ascii="Arial" w:hAnsi="Arial" w:cs="Arial"/>
        </w:rPr>
      </w:pPr>
    </w:p>
    <w:p w14:paraId="7A8A1F0D" w14:textId="77B26580" w:rsidR="00B74D91" w:rsidRPr="002E6B06" w:rsidRDefault="00B74D91" w:rsidP="00B74D91">
      <w:pPr>
        <w:pStyle w:val="BodyText"/>
        <w:jc w:val="left"/>
        <w:rPr>
          <w:rFonts w:ascii="Arial" w:hAnsi="Arial" w:cs="Arial"/>
        </w:rPr>
      </w:pPr>
      <w:r w:rsidRPr="002E6B06">
        <w:rPr>
          <w:rFonts w:ascii="Arial" w:hAnsi="Arial" w:cs="Arial"/>
        </w:rPr>
        <w:t xml:space="preserve">Please complete the other information on the contact record page as indicated.  </w:t>
      </w:r>
    </w:p>
    <w:p w14:paraId="1ED8679A" w14:textId="2DA26F32" w:rsidR="00572856" w:rsidRPr="00B46DE5" w:rsidRDefault="00572856" w:rsidP="00572856">
      <w:pPr>
        <w:rPr>
          <w:rFonts w:ascii="Arial" w:hAnsi="Arial" w:cs="Arial"/>
          <w:b/>
          <w:iCs/>
          <w:u w:val="single"/>
        </w:rPr>
      </w:pPr>
    </w:p>
    <w:p w14:paraId="4B90901A" w14:textId="2D66DDF0" w:rsidR="00B74D91" w:rsidRPr="00B46DE5" w:rsidRDefault="00B74D91" w:rsidP="00572856">
      <w:pPr>
        <w:rPr>
          <w:rFonts w:ascii="Arial" w:hAnsi="Arial" w:cs="Arial"/>
          <w:b/>
          <w:iCs/>
          <w:u w:val="single"/>
        </w:rPr>
      </w:pPr>
      <w:r w:rsidRPr="00B46DE5">
        <w:rPr>
          <w:rFonts w:ascii="Arial" w:hAnsi="Arial" w:cs="Arial"/>
          <w:b/>
          <w:iCs/>
          <w:u w:val="single"/>
        </w:rPr>
        <w:t>Special Situations</w:t>
      </w:r>
    </w:p>
    <w:p w14:paraId="171E1410" w14:textId="77777777" w:rsidR="00CB1228" w:rsidRDefault="00CB1228" w:rsidP="00572856">
      <w:pPr>
        <w:rPr>
          <w:rFonts w:ascii="Arial" w:hAnsi="Arial" w:cs="Arial"/>
          <w:b/>
          <w:iCs/>
        </w:rPr>
      </w:pPr>
    </w:p>
    <w:p w14:paraId="041B47F2" w14:textId="2907DAEF" w:rsidR="00B46DE5" w:rsidRDefault="00B46DE5" w:rsidP="0057285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Window prophylaxis</w:t>
      </w:r>
    </w:p>
    <w:p w14:paraId="3404587E" w14:textId="77777777" w:rsidR="00B46DE5" w:rsidRDefault="00B46DE5" w:rsidP="00572856">
      <w:pPr>
        <w:rPr>
          <w:rFonts w:ascii="Arial" w:hAnsi="Arial" w:cs="Arial"/>
          <w:b/>
          <w:iCs/>
        </w:rPr>
      </w:pPr>
    </w:p>
    <w:p w14:paraId="7227D1C0" w14:textId="6F9BEDF9" w:rsidR="00CB1228" w:rsidRPr="00CB1228" w:rsidRDefault="00CB1228" w:rsidP="0057285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Window prophylaxis should not be entered in the treatment section unless the </w:t>
      </w:r>
      <w:r w:rsidR="00B46DE5">
        <w:rPr>
          <w:rFonts w:ascii="Arial" w:hAnsi="Arial" w:cs="Arial"/>
          <w:color w:val="222222"/>
          <w:shd w:val="clear" w:color="auto" w:fill="FFFFFF"/>
        </w:rPr>
        <w:t>contact</w:t>
      </w:r>
      <w:r>
        <w:rPr>
          <w:rFonts w:ascii="Arial" w:hAnsi="Arial" w:cs="Arial"/>
          <w:color w:val="222222"/>
          <w:shd w:val="clear" w:color="auto" w:fill="FFFFFF"/>
        </w:rPr>
        <w:t xml:space="preserve"> is treated for LTBI.  </w:t>
      </w:r>
    </w:p>
    <w:p w14:paraId="018E67CB" w14:textId="77777777" w:rsidR="00B74D91" w:rsidRPr="002E6B06" w:rsidRDefault="00B74D91" w:rsidP="00572856">
      <w:pPr>
        <w:rPr>
          <w:rFonts w:ascii="Arial" w:hAnsi="Arial" w:cs="Arial"/>
          <w:b/>
          <w:iCs/>
        </w:rPr>
      </w:pPr>
    </w:p>
    <w:p w14:paraId="6F0B31D2" w14:textId="4CC09A6D" w:rsidR="00572856" w:rsidRPr="002E6B06" w:rsidRDefault="00572856" w:rsidP="00572856">
      <w:pPr>
        <w:rPr>
          <w:rFonts w:ascii="Arial" w:hAnsi="Arial" w:cs="Arial"/>
          <w:color w:val="222222"/>
          <w:shd w:val="clear" w:color="auto" w:fill="FFFFFF"/>
        </w:rPr>
      </w:pPr>
      <w:r w:rsidRPr="002E6B06">
        <w:rPr>
          <w:rFonts w:ascii="Arial" w:hAnsi="Arial" w:cs="Arial"/>
          <w:color w:val="222222"/>
          <w:shd w:val="clear" w:color="auto" w:fill="FFFFFF"/>
        </w:rPr>
        <w:t>Children less than 5 years of age who are contacts to an adult with infectious TB should receive</w:t>
      </w:r>
      <w:r w:rsidR="00841C53" w:rsidRPr="002E6B06">
        <w:rPr>
          <w:rFonts w:ascii="Arial" w:hAnsi="Arial" w:cs="Arial"/>
          <w:color w:val="222222"/>
          <w:shd w:val="clear" w:color="auto" w:fill="FFFFFF"/>
        </w:rPr>
        <w:t xml:space="preserve"> window prophylaxis</w:t>
      </w:r>
      <w:r w:rsidRPr="002E6B06">
        <w:rPr>
          <w:rFonts w:ascii="Arial" w:hAnsi="Arial" w:cs="Arial"/>
          <w:color w:val="222222"/>
          <w:shd w:val="clear" w:color="auto" w:fill="FFFFFF"/>
        </w:rPr>
        <w:t xml:space="preserve"> even if the TST</w:t>
      </w:r>
      <w:r w:rsidR="00E95FE9" w:rsidRPr="002E6B06">
        <w:rPr>
          <w:rFonts w:ascii="Arial" w:hAnsi="Arial" w:cs="Arial"/>
          <w:color w:val="222222"/>
          <w:shd w:val="clear" w:color="auto" w:fill="FFFFFF"/>
        </w:rPr>
        <w:t xml:space="preserve"> or IGRA </w:t>
      </w:r>
      <w:r w:rsidRPr="002E6B06">
        <w:rPr>
          <w:rFonts w:ascii="Arial" w:hAnsi="Arial" w:cs="Arial"/>
          <w:color w:val="222222"/>
          <w:shd w:val="clear" w:color="auto" w:fill="FFFFFF"/>
        </w:rPr>
        <w:t>result is negative</w:t>
      </w:r>
      <w:r w:rsidR="00CB1228">
        <w:rPr>
          <w:rFonts w:ascii="Arial" w:hAnsi="Arial" w:cs="Arial"/>
          <w:color w:val="222222"/>
          <w:shd w:val="clear" w:color="auto" w:fill="FFFFFF"/>
        </w:rPr>
        <w:t xml:space="preserve"> and</w:t>
      </w:r>
      <w:r w:rsidRPr="002E6B06">
        <w:rPr>
          <w:rFonts w:ascii="Arial" w:hAnsi="Arial" w:cs="Arial"/>
          <w:color w:val="222222"/>
          <w:shd w:val="clear" w:color="auto" w:fill="FFFFFF"/>
        </w:rPr>
        <w:t xml:space="preserve"> TB disease is excluded by chest radiograph and</w:t>
      </w:r>
      <w:r w:rsidR="00841C53" w:rsidRPr="002E6B06">
        <w:rPr>
          <w:rFonts w:ascii="Arial" w:hAnsi="Arial" w:cs="Arial"/>
          <w:color w:val="222222"/>
          <w:shd w:val="clear" w:color="auto" w:fill="FFFFFF"/>
        </w:rPr>
        <w:t xml:space="preserve"> a</w:t>
      </w:r>
      <w:r w:rsidRPr="002E6B06">
        <w:rPr>
          <w:rFonts w:ascii="Arial" w:hAnsi="Arial" w:cs="Arial"/>
          <w:color w:val="222222"/>
          <w:shd w:val="clear" w:color="auto" w:fill="FFFFFF"/>
        </w:rPr>
        <w:t xml:space="preserve"> symptom review.  Infected infants may be anergic as late as 6 months of age.  Please consult with a TB nurse consultant regarding testing and treatment for infants younger</w:t>
      </w:r>
      <w:r w:rsidR="00CB1228">
        <w:rPr>
          <w:rFonts w:ascii="Arial" w:hAnsi="Arial" w:cs="Arial"/>
          <w:color w:val="222222"/>
          <w:shd w:val="clear" w:color="auto" w:fill="FFFFFF"/>
        </w:rPr>
        <w:t xml:space="preserve"> than 6 months old</w:t>
      </w:r>
      <w:r w:rsidR="00841C53" w:rsidRPr="002E6B06">
        <w:rPr>
          <w:rFonts w:ascii="Arial" w:hAnsi="Arial" w:cs="Arial"/>
          <w:color w:val="222222"/>
          <w:shd w:val="clear" w:color="auto" w:fill="FFFFFF"/>
        </w:rPr>
        <w:t>, and for any questions about window prophylaxis</w:t>
      </w:r>
      <w:r w:rsidR="00CB1228">
        <w:rPr>
          <w:rFonts w:ascii="Arial" w:hAnsi="Arial" w:cs="Arial"/>
          <w:color w:val="222222"/>
          <w:shd w:val="clear" w:color="auto" w:fill="FFFFFF"/>
        </w:rPr>
        <w:t>.</w:t>
      </w:r>
    </w:p>
    <w:p w14:paraId="1B832BF2" w14:textId="77777777" w:rsidR="00572856" w:rsidRPr="002E6B06" w:rsidRDefault="00572856" w:rsidP="00572856">
      <w:pPr>
        <w:rPr>
          <w:rFonts w:ascii="Arial" w:hAnsi="Arial" w:cs="Arial"/>
          <w:color w:val="222222"/>
          <w:shd w:val="clear" w:color="auto" w:fill="FFFFFF"/>
        </w:rPr>
      </w:pPr>
    </w:p>
    <w:p w14:paraId="123990B3" w14:textId="34E5C285" w:rsidR="00572856" w:rsidRDefault="00572856" w:rsidP="00572856">
      <w:pPr>
        <w:rPr>
          <w:rFonts w:ascii="Arial" w:hAnsi="Arial" w:cs="Arial"/>
          <w:color w:val="222222"/>
          <w:shd w:val="clear" w:color="auto" w:fill="FFFFFF"/>
        </w:rPr>
      </w:pPr>
      <w:r w:rsidRPr="002E6B06">
        <w:rPr>
          <w:rFonts w:ascii="Arial" w:hAnsi="Arial" w:cs="Arial"/>
          <w:color w:val="222222"/>
          <w:shd w:val="clear" w:color="auto" w:fill="FFFFFF"/>
        </w:rPr>
        <w:t>A second TST</w:t>
      </w:r>
      <w:r w:rsidR="00E95FE9" w:rsidRPr="002E6B06">
        <w:rPr>
          <w:rFonts w:ascii="Arial" w:hAnsi="Arial" w:cs="Arial"/>
          <w:color w:val="222222"/>
          <w:shd w:val="clear" w:color="auto" w:fill="FFFFFF"/>
        </w:rPr>
        <w:t xml:space="preserve"> or IGRA</w:t>
      </w:r>
      <w:r w:rsidRPr="002E6B06">
        <w:rPr>
          <w:rFonts w:ascii="Arial" w:hAnsi="Arial" w:cs="Arial"/>
          <w:color w:val="222222"/>
          <w:shd w:val="clear" w:color="auto" w:fill="FFFFFF"/>
        </w:rPr>
        <w:t xml:space="preserve"> should be administered 8 to 10 weeks after the last exposure to infectious TB disease. Window prophylaxis can be discontinued if the following conditions are met: </w:t>
      </w:r>
    </w:p>
    <w:p w14:paraId="1C307B9A" w14:textId="77777777" w:rsidR="00CB1228" w:rsidRPr="002E6B06" w:rsidRDefault="00CB1228" w:rsidP="00572856">
      <w:pPr>
        <w:rPr>
          <w:rFonts w:ascii="Arial" w:hAnsi="Arial" w:cs="Arial"/>
          <w:color w:val="222222"/>
          <w:shd w:val="clear" w:color="auto" w:fill="FFFFFF"/>
        </w:rPr>
      </w:pPr>
    </w:p>
    <w:p w14:paraId="4570D5D4" w14:textId="77777777" w:rsidR="00572856" w:rsidRDefault="00572856" w:rsidP="00572856">
      <w:pPr>
        <w:ind w:left="720"/>
        <w:rPr>
          <w:rFonts w:ascii="Arial" w:hAnsi="Arial" w:cs="Arial"/>
          <w:color w:val="222222"/>
          <w:shd w:val="clear" w:color="auto" w:fill="FFFFFF"/>
        </w:rPr>
      </w:pPr>
      <w:r w:rsidRPr="002E6B06">
        <w:rPr>
          <w:rFonts w:ascii="Arial" w:hAnsi="Arial" w:cs="Arial"/>
          <w:color w:val="222222"/>
          <w:shd w:val="clear" w:color="auto" w:fill="FFFFFF"/>
        </w:rPr>
        <w:t xml:space="preserve">• The infant is at least 6 months of age </w:t>
      </w:r>
    </w:p>
    <w:p w14:paraId="271ABAA7" w14:textId="121F6F0E" w:rsidR="00CB1228" w:rsidRPr="002E6B06" w:rsidRDefault="00CB1228" w:rsidP="00572856">
      <w:pPr>
        <w:ind w:left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AND</w:t>
      </w:r>
    </w:p>
    <w:p w14:paraId="1CBCFCF9" w14:textId="0B028410" w:rsidR="00CB1228" w:rsidRPr="002E6B06" w:rsidRDefault="00572856" w:rsidP="00CB1228">
      <w:pPr>
        <w:ind w:left="720"/>
        <w:rPr>
          <w:rFonts w:ascii="Arial" w:hAnsi="Arial" w:cs="Arial"/>
          <w:color w:val="222222"/>
          <w:shd w:val="clear" w:color="auto" w:fill="FFFFFF"/>
        </w:rPr>
      </w:pPr>
      <w:r w:rsidRPr="002E6B06">
        <w:rPr>
          <w:rFonts w:ascii="Arial" w:hAnsi="Arial" w:cs="Arial"/>
          <w:color w:val="222222"/>
          <w:shd w:val="clear" w:color="auto" w:fill="FFFFFF"/>
        </w:rPr>
        <w:t>• The second TST</w:t>
      </w:r>
      <w:r w:rsidR="00E95FE9" w:rsidRPr="002E6B06">
        <w:rPr>
          <w:rFonts w:ascii="Arial" w:hAnsi="Arial" w:cs="Arial"/>
          <w:color w:val="222222"/>
          <w:shd w:val="clear" w:color="auto" w:fill="FFFFFF"/>
        </w:rPr>
        <w:t xml:space="preserve"> or IGRA</w:t>
      </w:r>
      <w:r w:rsidRPr="002E6B06">
        <w:rPr>
          <w:rFonts w:ascii="Arial" w:hAnsi="Arial" w:cs="Arial"/>
          <w:color w:val="222222"/>
          <w:shd w:val="clear" w:color="auto" w:fill="FFFFFF"/>
        </w:rPr>
        <w:t xml:space="preserve"> result is negative</w:t>
      </w:r>
      <w:r w:rsidR="00CB1228">
        <w:rPr>
          <w:rFonts w:ascii="Arial" w:hAnsi="Arial" w:cs="Arial"/>
          <w:color w:val="222222"/>
          <w:shd w:val="clear" w:color="auto" w:fill="FFFFFF"/>
        </w:rPr>
        <w:t xml:space="preserve"> and the child has no symptoms of TB disease</w:t>
      </w:r>
      <w:r w:rsidRPr="002E6B06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39A624C" w14:textId="77777777" w:rsidR="00572856" w:rsidRPr="002E6B06" w:rsidRDefault="00572856" w:rsidP="00572856">
      <w:pPr>
        <w:ind w:left="720"/>
        <w:rPr>
          <w:rFonts w:ascii="Arial" w:hAnsi="Arial" w:cs="Arial"/>
          <w:color w:val="222222"/>
          <w:shd w:val="clear" w:color="auto" w:fill="FFFFFF"/>
        </w:rPr>
      </w:pPr>
    </w:p>
    <w:p w14:paraId="24B9C2B2" w14:textId="5F20CB6B" w:rsidR="00572856" w:rsidRDefault="008671E1" w:rsidP="00572856">
      <w:pPr>
        <w:rPr>
          <w:rFonts w:ascii="Arial" w:hAnsi="Arial" w:cs="Arial"/>
          <w:color w:val="222222"/>
          <w:shd w:val="clear" w:color="auto" w:fill="FFFFFF"/>
        </w:rPr>
      </w:pPr>
      <w:r w:rsidRPr="002E6B06">
        <w:rPr>
          <w:rFonts w:ascii="Arial" w:hAnsi="Arial" w:cs="Arial"/>
          <w:color w:val="222222"/>
          <w:shd w:val="clear" w:color="auto" w:fill="FFFFFF"/>
        </w:rPr>
        <w:t>C</w:t>
      </w:r>
      <w:r w:rsidR="00572856" w:rsidRPr="002E6B06">
        <w:rPr>
          <w:rFonts w:ascii="Arial" w:hAnsi="Arial" w:cs="Arial"/>
          <w:color w:val="222222"/>
          <w:shd w:val="clear" w:color="auto" w:fill="FFFFFF"/>
        </w:rPr>
        <w:t xml:space="preserve">ontacts at high risk for progression to disease (HIV, taking TNF alpha inhibitors) are sometimes placed on window prophylaxis.  Please consult with the nurse consultant with any questions or concerns. </w:t>
      </w:r>
    </w:p>
    <w:p w14:paraId="28D48BC6" w14:textId="77777777" w:rsidR="00CB1228" w:rsidRDefault="00CB1228" w:rsidP="00572856">
      <w:pPr>
        <w:rPr>
          <w:rFonts w:ascii="Arial" w:hAnsi="Arial" w:cs="Arial"/>
          <w:color w:val="222222"/>
          <w:shd w:val="clear" w:color="auto" w:fill="FFFFFF"/>
        </w:rPr>
      </w:pPr>
    </w:p>
    <w:p w14:paraId="5C010EBF" w14:textId="77777777" w:rsidR="00E0112B" w:rsidRPr="002E6B06" w:rsidRDefault="00E0112B" w:rsidP="00C7027C">
      <w:pPr>
        <w:rPr>
          <w:rFonts w:ascii="Arial" w:hAnsi="Arial" w:cs="Arial"/>
        </w:rPr>
      </w:pPr>
    </w:p>
    <w:p w14:paraId="7BBDF014" w14:textId="77777777" w:rsidR="00B46DE5" w:rsidRPr="00B46DE5" w:rsidRDefault="00B46DE5" w:rsidP="00B46DE5">
      <w:pPr>
        <w:rPr>
          <w:rFonts w:ascii="Arial" w:hAnsi="Arial" w:cs="Arial"/>
          <w:b/>
          <w:iCs/>
        </w:rPr>
      </w:pPr>
      <w:r w:rsidRPr="00B46DE5">
        <w:rPr>
          <w:rFonts w:ascii="Arial" w:hAnsi="Arial" w:cs="Arial"/>
          <w:b/>
          <w:iCs/>
        </w:rPr>
        <w:lastRenderedPageBreak/>
        <w:t>Large Contact Investigations</w:t>
      </w:r>
    </w:p>
    <w:p w14:paraId="40B02461" w14:textId="77777777" w:rsidR="00B46DE5" w:rsidRPr="002E6B06" w:rsidRDefault="00B46DE5" w:rsidP="00B46DE5">
      <w:pPr>
        <w:rPr>
          <w:rFonts w:ascii="Arial" w:hAnsi="Arial" w:cs="Arial"/>
          <w:b/>
          <w:iCs/>
          <w:u w:val="single"/>
        </w:rPr>
      </w:pPr>
    </w:p>
    <w:p w14:paraId="4070737B" w14:textId="77777777" w:rsidR="00B46DE5" w:rsidRPr="002E6B06" w:rsidRDefault="00B46DE5" w:rsidP="00B46DE5">
      <w:p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A large contact investigation is defined as 25 or more contacts for a case.</w:t>
      </w:r>
    </w:p>
    <w:p w14:paraId="04C3F4D4" w14:textId="603657F2" w:rsidR="00B46DE5" w:rsidRDefault="00B46DE5" w:rsidP="00B46DE5">
      <w:p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 xml:space="preserve">  </w:t>
      </w:r>
    </w:p>
    <w:p w14:paraId="6C942541" w14:textId="77777777" w:rsidR="00B46DE5" w:rsidRPr="002E6B06" w:rsidRDefault="00B46DE5" w:rsidP="00B46DE5">
      <w:p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Data entry for large contact investigations</w:t>
      </w:r>
      <w:r>
        <w:rPr>
          <w:rFonts w:ascii="Arial" w:hAnsi="Arial" w:cs="Arial"/>
          <w:bCs/>
          <w:iCs/>
        </w:rPr>
        <w:t>:</w:t>
      </w:r>
    </w:p>
    <w:p w14:paraId="0A663051" w14:textId="77777777" w:rsidR="00B46DE5" w:rsidRPr="002E6B06" w:rsidRDefault="00B46DE5" w:rsidP="00B46DE5">
      <w:pPr>
        <w:rPr>
          <w:rFonts w:ascii="Arial" w:hAnsi="Arial" w:cs="Arial"/>
          <w:bCs/>
          <w:iCs/>
        </w:rPr>
      </w:pPr>
    </w:p>
    <w:p w14:paraId="0D585717" w14:textId="77777777" w:rsidR="00B46DE5" w:rsidRPr="004E31A2" w:rsidRDefault="00B46DE5" w:rsidP="00B46DE5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Enter the following contacts individually in the Contact Records page in NEDSS:</w:t>
      </w:r>
    </w:p>
    <w:p w14:paraId="1111C1A9" w14:textId="77777777" w:rsidR="00B46DE5" w:rsidRPr="004E31A2" w:rsidRDefault="00B46DE5" w:rsidP="00B46DE5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Household and other high-</w:t>
      </w:r>
      <w:r>
        <w:rPr>
          <w:rFonts w:ascii="Arial" w:hAnsi="Arial" w:cs="Arial"/>
          <w:bCs/>
          <w:iCs/>
        </w:rPr>
        <w:t>priority</w:t>
      </w:r>
      <w:r w:rsidRPr="004E31A2">
        <w:rPr>
          <w:rFonts w:ascii="Arial" w:hAnsi="Arial" w:cs="Arial"/>
          <w:bCs/>
          <w:iCs/>
        </w:rPr>
        <w:t xml:space="preserve"> contacts:</w:t>
      </w:r>
    </w:p>
    <w:p w14:paraId="713F1BA0" w14:textId="77777777" w:rsidR="00B46DE5" w:rsidRPr="004E31A2" w:rsidRDefault="00B46DE5" w:rsidP="00B46DE5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Children under 5</w:t>
      </w:r>
    </w:p>
    <w:p w14:paraId="1D13C1E9" w14:textId="77777777" w:rsidR="00B46DE5" w:rsidRPr="004E31A2" w:rsidRDefault="00B46DE5" w:rsidP="00B46DE5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Immunocompromising condition or medication</w:t>
      </w:r>
    </w:p>
    <w:p w14:paraId="1A02D9FE" w14:textId="77777777" w:rsidR="00B46DE5" w:rsidRPr="004E31A2" w:rsidRDefault="00B46DE5" w:rsidP="00B46DE5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High exposure to index case based on time and/or environmental conditions</w:t>
      </w:r>
    </w:p>
    <w:p w14:paraId="7A71B0A6" w14:textId="77777777" w:rsidR="00B46DE5" w:rsidRDefault="00B46DE5" w:rsidP="00B46DE5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All other contacts who test positive</w:t>
      </w:r>
    </w:p>
    <w:p w14:paraId="7692C62A" w14:textId="77777777" w:rsidR="00B46DE5" w:rsidRPr="004E31A2" w:rsidRDefault="00B46DE5" w:rsidP="00B46DE5">
      <w:pPr>
        <w:pStyle w:val="ListParagraph"/>
        <w:ind w:left="360"/>
        <w:rPr>
          <w:rFonts w:ascii="Arial" w:hAnsi="Arial" w:cs="Arial"/>
          <w:bCs/>
          <w:iCs/>
        </w:rPr>
      </w:pPr>
    </w:p>
    <w:p w14:paraId="77C92ED1" w14:textId="77777777" w:rsidR="00B46DE5" w:rsidRPr="004E31A2" w:rsidRDefault="00B46DE5" w:rsidP="00B46DE5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Enter the following contacts as summarized data into the contact investigation comments section in the Contact Tracing page in NEDSS:</w:t>
      </w:r>
    </w:p>
    <w:p w14:paraId="7C1607FA" w14:textId="77777777" w:rsidR="00B46DE5" w:rsidRPr="004E31A2" w:rsidRDefault="00B46DE5" w:rsidP="00B46DE5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The number of non-household contacts identified </w:t>
      </w:r>
    </w:p>
    <w:p w14:paraId="743CEBFE" w14:textId="77777777" w:rsidR="00B46DE5" w:rsidRPr="004E31A2" w:rsidRDefault="00B46DE5" w:rsidP="00B46DE5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4E31A2">
        <w:rPr>
          <w:rFonts w:ascii="Arial" w:hAnsi="Arial" w:cs="Arial"/>
          <w:bCs/>
          <w:iCs/>
        </w:rPr>
        <w:t>The number of non-household contacts who complete evaluation and determined not to have TB or LTBI</w:t>
      </w:r>
    </w:p>
    <w:p w14:paraId="3FA671F5" w14:textId="77777777" w:rsidR="00CB1228" w:rsidRDefault="00CB1228" w:rsidP="00C7027C">
      <w:pPr>
        <w:rPr>
          <w:rFonts w:ascii="Arial" w:hAnsi="Arial" w:cs="Arial"/>
          <w:b/>
          <w:iCs/>
          <w:u w:val="single"/>
        </w:rPr>
      </w:pPr>
    </w:p>
    <w:p w14:paraId="660D9E76" w14:textId="07EC6974" w:rsidR="00032473" w:rsidRPr="002E6B06" w:rsidRDefault="00032473" w:rsidP="00C7027C">
      <w:pPr>
        <w:rPr>
          <w:rFonts w:ascii="Arial" w:hAnsi="Arial" w:cs="Arial"/>
          <w:b/>
          <w:iCs/>
          <w:u w:val="single"/>
        </w:rPr>
      </w:pPr>
      <w:r w:rsidRPr="002E6B06">
        <w:rPr>
          <w:rFonts w:ascii="Arial" w:hAnsi="Arial" w:cs="Arial"/>
          <w:b/>
          <w:iCs/>
          <w:u w:val="single"/>
        </w:rPr>
        <w:t xml:space="preserve">Contact Follow-Up </w:t>
      </w:r>
      <w:r w:rsidR="00B46DE5">
        <w:rPr>
          <w:rFonts w:ascii="Arial" w:hAnsi="Arial" w:cs="Arial"/>
          <w:b/>
          <w:iCs/>
          <w:u w:val="single"/>
        </w:rPr>
        <w:t>Page</w:t>
      </w:r>
    </w:p>
    <w:p w14:paraId="7944A299" w14:textId="591ED1AC" w:rsidR="00032473" w:rsidRPr="002E6B06" w:rsidRDefault="00032473" w:rsidP="00C7027C">
      <w:pPr>
        <w:rPr>
          <w:rFonts w:ascii="Arial" w:hAnsi="Arial" w:cs="Arial"/>
          <w:bCs/>
          <w:iCs/>
          <w:u w:val="single"/>
        </w:rPr>
      </w:pPr>
    </w:p>
    <w:p w14:paraId="0E5EAAB3" w14:textId="75FC15B4" w:rsidR="00032473" w:rsidRPr="002E6B06" w:rsidRDefault="00032473" w:rsidP="00C7027C">
      <w:p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Enter the information for contacts who have any evaluation</w:t>
      </w:r>
      <w:r w:rsidR="00F04479" w:rsidRPr="002E6B06">
        <w:rPr>
          <w:rFonts w:ascii="Arial" w:hAnsi="Arial" w:cs="Arial"/>
          <w:bCs/>
          <w:iCs/>
        </w:rPr>
        <w:t xml:space="preserve"> even if the evaluation was not completed, </w:t>
      </w:r>
      <w:r w:rsidR="005A6216" w:rsidRPr="002E6B06">
        <w:rPr>
          <w:rFonts w:ascii="Arial" w:hAnsi="Arial" w:cs="Arial"/>
          <w:bCs/>
          <w:iCs/>
        </w:rPr>
        <w:t>i.e.,</w:t>
      </w:r>
      <w:r w:rsidR="00F04479" w:rsidRPr="002E6B06">
        <w:rPr>
          <w:rFonts w:ascii="Arial" w:hAnsi="Arial" w:cs="Arial"/>
          <w:bCs/>
          <w:iCs/>
        </w:rPr>
        <w:t xml:space="preserve"> contact does not complete additional testing as needed. </w:t>
      </w:r>
    </w:p>
    <w:p w14:paraId="6B09628D" w14:textId="62169A74" w:rsidR="00032473" w:rsidRPr="002E6B06" w:rsidRDefault="00032473" w:rsidP="00C7027C">
      <w:pPr>
        <w:rPr>
          <w:rFonts w:ascii="Arial" w:hAnsi="Arial" w:cs="Arial"/>
          <w:bCs/>
          <w:iCs/>
        </w:rPr>
      </w:pPr>
    </w:p>
    <w:p w14:paraId="18304F40" w14:textId="56A732C7" w:rsidR="00032473" w:rsidRPr="002E6B06" w:rsidRDefault="00DC362C" w:rsidP="00DC362C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Signs and Symptoms</w:t>
      </w:r>
      <w:r w:rsidR="00C14AF5" w:rsidRPr="002E6B06">
        <w:rPr>
          <w:rFonts w:ascii="Arial" w:hAnsi="Arial" w:cs="Arial"/>
          <w:bCs/>
          <w:iCs/>
        </w:rPr>
        <w:t xml:space="preserve">: </w:t>
      </w:r>
      <w:r w:rsidR="00EA76FF" w:rsidRPr="002E6B06">
        <w:rPr>
          <w:rFonts w:ascii="Arial" w:hAnsi="Arial" w:cs="Arial"/>
          <w:bCs/>
          <w:iCs/>
        </w:rPr>
        <w:t>check</w:t>
      </w:r>
      <w:r w:rsidR="00C14AF5" w:rsidRPr="002E6B06">
        <w:rPr>
          <w:rFonts w:ascii="Arial" w:hAnsi="Arial" w:cs="Arial"/>
          <w:bCs/>
          <w:iCs/>
        </w:rPr>
        <w:t xml:space="preserve"> all that apply if the contact has symptoms.  </w:t>
      </w:r>
    </w:p>
    <w:p w14:paraId="3F67CA9A" w14:textId="41C59818" w:rsidR="00DC362C" w:rsidRPr="002E6B06" w:rsidRDefault="00DC362C" w:rsidP="00DC362C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Risk Factors for progressing to TB disease if infected</w:t>
      </w:r>
      <w:r w:rsidR="00C14AF5" w:rsidRPr="002E6B06">
        <w:rPr>
          <w:rFonts w:ascii="Arial" w:hAnsi="Arial" w:cs="Arial"/>
          <w:bCs/>
          <w:iCs/>
        </w:rPr>
        <w:t>: check all that apply</w:t>
      </w:r>
      <w:r w:rsidR="00E95FE9" w:rsidRPr="002E6B06">
        <w:rPr>
          <w:rFonts w:ascii="Arial" w:hAnsi="Arial" w:cs="Arial"/>
          <w:bCs/>
          <w:iCs/>
        </w:rPr>
        <w:t xml:space="preserve">.  </w:t>
      </w:r>
    </w:p>
    <w:p w14:paraId="3CEB9CF2" w14:textId="77777777" w:rsidR="00C14AF5" w:rsidRPr="002E6B06" w:rsidRDefault="00DC362C" w:rsidP="00DC362C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Testing information</w:t>
      </w:r>
      <w:r w:rsidR="00C14AF5" w:rsidRPr="002E6B06">
        <w:rPr>
          <w:rFonts w:ascii="Arial" w:hAnsi="Arial" w:cs="Arial"/>
          <w:bCs/>
          <w:iCs/>
        </w:rPr>
        <w:t xml:space="preserve">: </w:t>
      </w:r>
    </w:p>
    <w:p w14:paraId="165347A3" w14:textId="41246DD7" w:rsidR="00EA76FF" w:rsidRPr="002E6B06" w:rsidRDefault="00EA76FF" w:rsidP="00EA76FF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Enter the test type used.</w:t>
      </w:r>
    </w:p>
    <w:p w14:paraId="6EBE4235" w14:textId="163767CF" w:rsidR="00C14AF5" w:rsidRPr="002E6B06" w:rsidRDefault="00C14AF5" w:rsidP="00C14AF5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 xml:space="preserve">Enter </w:t>
      </w:r>
      <w:r w:rsidR="004C24FB" w:rsidRPr="002E6B06">
        <w:rPr>
          <w:rFonts w:ascii="Arial" w:hAnsi="Arial" w:cs="Arial"/>
          <w:bCs/>
          <w:iCs/>
        </w:rPr>
        <w:t>the first</w:t>
      </w:r>
      <w:r w:rsidRPr="002E6B06">
        <w:rPr>
          <w:rFonts w:ascii="Arial" w:hAnsi="Arial" w:cs="Arial"/>
          <w:bCs/>
          <w:iCs/>
        </w:rPr>
        <w:t xml:space="preserve"> and/or second round testing as indicated</w:t>
      </w:r>
      <w:r w:rsidR="00E95FE9" w:rsidRPr="002E6B06">
        <w:rPr>
          <w:rFonts w:ascii="Arial" w:hAnsi="Arial" w:cs="Arial"/>
          <w:bCs/>
          <w:iCs/>
        </w:rPr>
        <w:t xml:space="preserve"> for the TBI test</w:t>
      </w:r>
      <w:r w:rsidR="001B4693" w:rsidRPr="002E6B06">
        <w:rPr>
          <w:rFonts w:ascii="Arial" w:hAnsi="Arial" w:cs="Arial"/>
          <w:bCs/>
          <w:iCs/>
        </w:rPr>
        <w:t xml:space="preserve"> used</w:t>
      </w:r>
      <w:r w:rsidR="00E95FE9" w:rsidRPr="002E6B06">
        <w:rPr>
          <w:rFonts w:ascii="Arial" w:hAnsi="Arial" w:cs="Arial"/>
          <w:bCs/>
          <w:iCs/>
        </w:rPr>
        <w:t xml:space="preserve">.  </w:t>
      </w:r>
    </w:p>
    <w:p w14:paraId="4C2DF17E" w14:textId="12DB39C4" w:rsidR="00C14AF5" w:rsidRPr="002E6B06" w:rsidRDefault="00C14AF5" w:rsidP="00C14AF5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HIV testing:  this field needs to be completed</w:t>
      </w:r>
      <w:r w:rsidR="00E95FE9" w:rsidRPr="002E6B06">
        <w:rPr>
          <w:rFonts w:ascii="Arial" w:hAnsi="Arial" w:cs="Arial"/>
          <w:bCs/>
          <w:iCs/>
        </w:rPr>
        <w:t>:</w:t>
      </w:r>
    </w:p>
    <w:p w14:paraId="3DDCF344" w14:textId="77777777" w:rsidR="00C14AF5" w:rsidRPr="002E6B06" w:rsidRDefault="00C14AF5" w:rsidP="00C14AF5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Positive</w:t>
      </w:r>
    </w:p>
    <w:p w14:paraId="75C0DA85" w14:textId="77777777" w:rsidR="00C14AF5" w:rsidRPr="002E6B06" w:rsidRDefault="00C14AF5" w:rsidP="00C14AF5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Negative</w:t>
      </w:r>
    </w:p>
    <w:p w14:paraId="4B852E53" w14:textId="77777777" w:rsidR="00C14AF5" w:rsidRPr="002E6B06" w:rsidRDefault="00C14AF5" w:rsidP="00C14AF5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Not offered</w:t>
      </w:r>
    </w:p>
    <w:p w14:paraId="35D5693B" w14:textId="77777777" w:rsidR="00C14AF5" w:rsidRPr="002E6B06" w:rsidRDefault="00C14AF5" w:rsidP="00C14AF5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Refused</w:t>
      </w:r>
    </w:p>
    <w:p w14:paraId="716461EE" w14:textId="54024257" w:rsidR="00DC362C" w:rsidRPr="002E6B06" w:rsidRDefault="00C14AF5" w:rsidP="00C14AF5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Unknown</w:t>
      </w:r>
    </w:p>
    <w:p w14:paraId="75B7E10A" w14:textId="482A1E5A" w:rsidR="00161116" w:rsidRDefault="00161116" w:rsidP="00161116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Enter additional testing information as indicated</w:t>
      </w:r>
      <w:r w:rsidR="00E95FE9" w:rsidRPr="002E6B06">
        <w:rPr>
          <w:rFonts w:ascii="Arial" w:hAnsi="Arial" w:cs="Arial"/>
          <w:bCs/>
          <w:iCs/>
        </w:rPr>
        <w:t>.</w:t>
      </w:r>
    </w:p>
    <w:p w14:paraId="19CB7E6C" w14:textId="77777777" w:rsidR="005D2632" w:rsidRPr="002E6B06" w:rsidRDefault="005D2632" w:rsidP="005D2632">
      <w:pPr>
        <w:pStyle w:val="ListParagraph"/>
        <w:ind w:left="1080"/>
        <w:rPr>
          <w:rFonts w:ascii="Arial" w:hAnsi="Arial" w:cs="Arial"/>
          <w:bCs/>
          <w:iCs/>
        </w:rPr>
      </w:pPr>
    </w:p>
    <w:p w14:paraId="4592F9C7" w14:textId="3C48F76B" w:rsidR="00F04479" w:rsidRDefault="00F04479" w:rsidP="00F04479">
      <w:pPr>
        <w:pStyle w:val="ListParagraph"/>
        <w:numPr>
          <w:ilvl w:val="0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Treatment information:  enter the date and regimen started and completed as indicated.</w:t>
      </w:r>
      <w:r w:rsidR="009B009E">
        <w:rPr>
          <w:rFonts w:ascii="Arial" w:hAnsi="Arial" w:cs="Arial"/>
          <w:bCs/>
          <w:iCs/>
        </w:rPr>
        <w:t xml:space="preserve">  L</w:t>
      </w:r>
      <w:r w:rsidR="00F831DB" w:rsidRPr="002E6B06">
        <w:rPr>
          <w:rFonts w:ascii="Arial" w:hAnsi="Arial" w:cs="Arial"/>
          <w:bCs/>
          <w:iCs/>
        </w:rPr>
        <w:t xml:space="preserve">eave this blank if the contact does not have LTBI.  </w:t>
      </w:r>
    </w:p>
    <w:p w14:paraId="339F6971" w14:textId="77777777" w:rsidR="005D2632" w:rsidRPr="002E6B06" w:rsidRDefault="005D2632" w:rsidP="005D2632">
      <w:pPr>
        <w:pStyle w:val="ListParagraph"/>
        <w:ind w:left="360"/>
        <w:rPr>
          <w:rFonts w:ascii="Arial" w:hAnsi="Arial" w:cs="Arial"/>
          <w:bCs/>
          <w:iCs/>
        </w:rPr>
      </w:pPr>
    </w:p>
    <w:p w14:paraId="41692E4B" w14:textId="018768C6" w:rsidR="00C4036C" w:rsidRPr="002E6B06" w:rsidRDefault="00C4036C" w:rsidP="00F04479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Treatment not started:</w:t>
      </w:r>
      <w:r w:rsidR="00C14AF5" w:rsidRPr="002E6B06">
        <w:rPr>
          <w:rFonts w:ascii="Arial" w:hAnsi="Arial" w:cs="Arial"/>
          <w:bCs/>
          <w:iCs/>
        </w:rPr>
        <w:t xml:space="preserve"> check the most appropriate reason if the contact is diagnosed with LTBI and does not start treatment. </w:t>
      </w:r>
    </w:p>
    <w:p w14:paraId="44828FE7" w14:textId="1EC61F46" w:rsidR="00C4036C" w:rsidRPr="002E6B06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Lost to follow-up:  cannot locate contact</w:t>
      </w:r>
    </w:p>
    <w:p w14:paraId="494C8B2A" w14:textId="0EAF97EF" w:rsidR="00C4036C" w:rsidRPr="002E6B06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lastRenderedPageBreak/>
        <w:t xml:space="preserve">Not </w:t>
      </w:r>
      <w:r w:rsidR="00F04479" w:rsidRPr="002E6B06">
        <w:rPr>
          <w:rFonts w:ascii="Arial" w:hAnsi="Arial" w:cs="Arial"/>
          <w:bCs/>
          <w:iCs/>
        </w:rPr>
        <w:t>indicated: provider</w:t>
      </w:r>
      <w:r w:rsidRPr="002E6B06">
        <w:rPr>
          <w:rFonts w:ascii="Arial" w:hAnsi="Arial" w:cs="Arial"/>
          <w:bCs/>
          <w:iCs/>
        </w:rPr>
        <w:t xml:space="preserve"> determines treatment not indicated for any reason not otherwise listed</w:t>
      </w:r>
    </w:p>
    <w:p w14:paraId="4EA9E533" w14:textId="4A55D65C" w:rsidR="00C4036C" w:rsidRPr="002E6B06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 xml:space="preserve">Not offered: contact diagnosed with </w:t>
      </w:r>
      <w:r w:rsidR="00F04479" w:rsidRPr="002E6B06">
        <w:rPr>
          <w:rFonts w:ascii="Arial" w:hAnsi="Arial" w:cs="Arial"/>
          <w:bCs/>
          <w:iCs/>
        </w:rPr>
        <w:t>LTBI,</w:t>
      </w:r>
      <w:r w:rsidRPr="002E6B06">
        <w:rPr>
          <w:rFonts w:ascii="Arial" w:hAnsi="Arial" w:cs="Arial"/>
          <w:bCs/>
          <w:iCs/>
        </w:rPr>
        <w:t xml:space="preserve"> and treatment was not offered by the provider</w:t>
      </w:r>
    </w:p>
    <w:p w14:paraId="51BE38F5" w14:textId="3F5E9E63" w:rsidR="00C4036C" w:rsidRPr="002E6B06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Other: any other reason not listed</w:t>
      </w:r>
    </w:p>
    <w:p w14:paraId="6FFEFCD7" w14:textId="2A55F2C8" w:rsidR="00C4036C" w:rsidRPr="002E6B06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Pregnancy: contact is pregnant at the time of LTBI diagnosis</w:t>
      </w:r>
    </w:p>
    <w:p w14:paraId="42223CB9" w14:textId="73CB416E" w:rsidR="00C4036C" w:rsidRPr="002E6B06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Previous LTBI treatment: documentation of previous treatment for LTBI and provider determines treatment to this case is not needed</w:t>
      </w:r>
    </w:p>
    <w:p w14:paraId="409AF9FC" w14:textId="456B800A" w:rsidR="00C4036C" w:rsidRPr="002E6B06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 xml:space="preserve">Previous TB treatment: documentation of previous treatment for TB disease and provider determines treatment as a contact </w:t>
      </w:r>
      <w:r w:rsidR="00F04479" w:rsidRPr="002E6B06">
        <w:rPr>
          <w:rFonts w:ascii="Arial" w:hAnsi="Arial" w:cs="Arial"/>
          <w:bCs/>
          <w:iCs/>
        </w:rPr>
        <w:t xml:space="preserve">to this case </w:t>
      </w:r>
      <w:r w:rsidRPr="002E6B06">
        <w:rPr>
          <w:rFonts w:ascii="Arial" w:hAnsi="Arial" w:cs="Arial"/>
          <w:bCs/>
          <w:iCs/>
        </w:rPr>
        <w:t>is not needed</w:t>
      </w:r>
    </w:p>
    <w:p w14:paraId="6C1617D1" w14:textId="6D554E2B" w:rsidR="00C4036C" w:rsidRPr="002E6B06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Provider decision: provider decision to not treat LTBI for any other reason not listed</w:t>
      </w:r>
    </w:p>
    <w:p w14:paraId="74296AD3" w14:textId="1DAD3CCC" w:rsidR="00C4036C" w:rsidRDefault="00C4036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Refused:  contact refused treatment for LTBI</w:t>
      </w:r>
    </w:p>
    <w:p w14:paraId="3FC6FFB7" w14:textId="77777777" w:rsidR="005D2632" w:rsidRPr="002E6B06" w:rsidRDefault="005D2632" w:rsidP="005D2632">
      <w:pPr>
        <w:pStyle w:val="ListParagraph"/>
        <w:ind w:left="1800"/>
        <w:rPr>
          <w:rFonts w:ascii="Arial" w:hAnsi="Arial" w:cs="Arial"/>
          <w:bCs/>
          <w:iCs/>
        </w:rPr>
      </w:pPr>
    </w:p>
    <w:p w14:paraId="442E1FA1" w14:textId="2EBD6D86" w:rsidR="00DC362C" w:rsidRPr="002E6B06" w:rsidRDefault="00DC362C" w:rsidP="00F04479">
      <w:pPr>
        <w:pStyle w:val="ListParagraph"/>
        <w:numPr>
          <w:ilvl w:val="1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Treatment outcome definitions</w:t>
      </w:r>
      <w:r w:rsidR="00C14AF5" w:rsidRPr="002E6B06">
        <w:rPr>
          <w:rFonts w:ascii="Arial" w:hAnsi="Arial" w:cs="Arial"/>
          <w:bCs/>
          <w:iCs/>
        </w:rPr>
        <w:t>:  check the most appropriate reason for any contact who starts treatment for LTBI.</w:t>
      </w:r>
    </w:p>
    <w:p w14:paraId="7B19D15A" w14:textId="77777777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Completed treatment: finished a recommended course of treatment</w:t>
      </w:r>
    </w:p>
    <w:p w14:paraId="28817271" w14:textId="77777777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Death/Died: died for any reason while on treatment for LTBI</w:t>
      </w:r>
    </w:p>
    <w:p w14:paraId="09101F90" w14:textId="77777777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Patient stopped: contact chose to stop treatment for reasons not listed</w:t>
      </w:r>
    </w:p>
    <w:p w14:paraId="4A9787DE" w14:textId="77777777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Patient moved: location of contact is unknown</w:t>
      </w:r>
    </w:p>
    <w:p w14:paraId="32441E19" w14:textId="77777777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If location is known the follow-up information needs to be obtained</w:t>
      </w:r>
    </w:p>
    <w:p w14:paraId="7A4385BC" w14:textId="77777777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 xml:space="preserve">Lost to follow-up: cannot locate contact to determine reason for stopping treatment </w:t>
      </w:r>
    </w:p>
    <w:p w14:paraId="0B6E89A4" w14:textId="77777777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Active TB: diagnosed while taking LTBI treatment</w:t>
      </w:r>
    </w:p>
    <w:p w14:paraId="2AA3144C" w14:textId="77777777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Adverse effect of drug: documented by provider</w:t>
      </w:r>
    </w:p>
    <w:p w14:paraId="4D4E7888" w14:textId="481BCAB6" w:rsidR="00DC362C" w:rsidRPr="002E6B06" w:rsidRDefault="00DC362C" w:rsidP="00F04479">
      <w:pPr>
        <w:pStyle w:val="ListParagraph"/>
        <w:numPr>
          <w:ilvl w:val="2"/>
          <w:numId w:val="21"/>
        </w:num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Provider decision: provider stops for reasons not listed</w:t>
      </w:r>
    </w:p>
    <w:p w14:paraId="2178F63A" w14:textId="77777777" w:rsidR="002E6B06" w:rsidRPr="002E6B06" w:rsidRDefault="002E6B06" w:rsidP="002E6B06">
      <w:pPr>
        <w:pStyle w:val="ListParagraph"/>
        <w:ind w:left="1800"/>
        <w:rPr>
          <w:rFonts w:ascii="Arial" w:hAnsi="Arial" w:cs="Arial"/>
          <w:bCs/>
          <w:iCs/>
        </w:rPr>
      </w:pPr>
    </w:p>
    <w:p w14:paraId="6135A436" w14:textId="77777777" w:rsidR="005D2632" w:rsidRDefault="005D2632" w:rsidP="00F04479">
      <w:pPr>
        <w:rPr>
          <w:rFonts w:ascii="Arial" w:hAnsi="Arial" w:cs="Arial"/>
          <w:b/>
          <w:iCs/>
          <w:u w:val="single"/>
        </w:rPr>
      </w:pPr>
    </w:p>
    <w:p w14:paraId="38D2EDFE" w14:textId="35999D55" w:rsidR="005A6216" w:rsidRDefault="005A6216" w:rsidP="00F04479">
      <w:pPr>
        <w:rPr>
          <w:rFonts w:ascii="Arial" w:hAnsi="Arial" w:cs="Arial"/>
          <w:b/>
          <w:iCs/>
          <w:u w:val="single"/>
        </w:rPr>
      </w:pPr>
      <w:r w:rsidRPr="002E6B06">
        <w:rPr>
          <w:rFonts w:ascii="Arial" w:hAnsi="Arial" w:cs="Arial"/>
          <w:b/>
          <w:iCs/>
          <w:u w:val="single"/>
        </w:rPr>
        <w:t>Closing the contact investigation</w:t>
      </w:r>
    </w:p>
    <w:p w14:paraId="4FB570C3" w14:textId="77777777" w:rsidR="009B009E" w:rsidRPr="002E6B06" w:rsidRDefault="009B009E" w:rsidP="00F04479">
      <w:pPr>
        <w:rPr>
          <w:rFonts w:ascii="Arial" w:hAnsi="Arial" w:cs="Arial"/>
          <w:b/>
          <w:iCs/>
          <w:u w:val="single"/>
        </w:rPr>
      </w:pPr>
    </w:p>
    <w:p w14:paraId="49A0CB59" w14:textId="7F4B2C0F" w:rsidR="00F04479" w:rsidRPr="002E6B06" w:rsidRDefault="005A6216" w:rsidP="00F04479">
      <w:pPr>
        <w:rPr>
          <w:rFonts w:ascii="Arial" w:hAnsi="Arial" w:cs="Arial"/>
          <w:bCs/>
          <w:iCs/>
        </w:rPr>
      </w:pPr>
      <w:r w:rsidRPr="002E6B06">
        <w:rPr>
          <w:rFonts w:ascii="Arial" w:hAnsi="Arial" w:cs="Arial"/>
          <w:bCs/>
          <w:iCs/>
        </w:rPr>
        <w:t>T</w:t>
      </w:r>
      <w:r w:rsidR="00F04479" w:rsidRPr="002E6B06">
        <w:rPr>
          <w:rFonts w:ascii="Arial" w:hAnsi="Arial" w:cs="Arial"/>
          <w:bCs/>
          <w:iCs/>
        </w:rPr>
        <w:t xml:space="preserve">he </w:t>
      </w:r>
      <w:r w:rsidRPr="002E6B06">
        <w:rPr>
          <w:rFonts w:ascii="Arial" w:hAnsi="Arial" w:cs="Arial"/>
          <w:bCs/>
          <w:iCs/>
        </w:rPr>
        <w:t xml:space="preserve">contact </w:t>
      </w:r>
      <w:r w:rsidR="00F04479" w:rsidRPr="002E6B06">
        <w:rPr>
          <w:rFonts w:ascii="Arial" w:hAnsi="Arial" w:cs="Arial"/>
          <w:bCs/>
          <w:iCs/>
        </w:rPr>
        <w:t>investigation can be closed</w:t>
      </w:r>
      <w:r w:rsidR="002E6B06" w:rsidRPr="002E6B06">
        <w:rPr>
          <w:rFonts w:ascii="Arial" w:hAnsi="Arial" w:cs="Arial"/>
          <w:bCs/>
          <w:iCs/>
        </w:rPr>
        <w:t xml:space="preserve"> </w:t>
      </w:r>
      <w:r w:rsidR="00F04479" w:rsidRPr="002E6B06">
        <w:rPr>
          <w:rFonts w:ascii="Arial" w:hAnsi="Arial" w:cs="Arial"/>
          <w:bCs/>
          <w:iCs/>
        </w:rPr>
        <w:t xml:space="preserve">once all identified contacts have a final disposition AND all contacts diagnosed with LTBI have a final treatment outcome.  </w:t>
      </w:r>
    </w:p>
    <w:p w14:paraId="0C7D1694" w14:textId="7578C992" w:rsidR="00DC362C" w:rsidRPr="00DC362C" w:rsidRDefault="00DC362C" w:rsidP="00DC362C">
      <w:pPr>
        <w:rPr>
          <w:bCs/>
          <w:iCs/>
        </w:rPr>
      </w:pPr>
    </w:p>
    <w:p w14:paraId="60B812BB" w14:textId="77777777" w:rsidR="00DC362C" w:rsidRPr="00DC362C" w:rsidRDefault="00DC362C" w:rsidP="00DC362C">
      <w:pPr>
        <w:pStyle w:val="ListParagraph"/>
        <w:ind w:left="1080"/>
        <w:rPr>
          <w:bCs/>
          <w:iCs/>
        </w:rPr>
      </w:pPr>
    </w:p>
    <w:p w14:paraId="02262CD8" w14:textId="77777777" w:rsidR="00032473" w:rsidRDefault="00032473" w:rsidP="00C7027C">
      <w:pPr>
        <w:rPr>
          <w:bCs/>
          <w:iCs/>
          <w:u w:val="single"/>
        </w:rPr>
      </w:pPr>
    </w:p>
    <w:p w14:paraId="5F4B3A69" w14:textId="77777777" w:rsidR="00032473" w:rsidRDefault="00032473" w:rsidP="00C7027C">
      <w:pPr>
        <w:rPr>
          <w:bCs/>
          <w:iCs/>
          <w:u w:val="single"/>
        </w:rPr>
      </w:pPr>
    </w:p>
    <w:p w14:paraId="503746D4" w14:textId="77777777" w:rsidR="008A1A12" w:rsidRDefault="008A1A1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A1A12" w:rsidSect="002E185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51F3F" w14:textId="77777777" w:rsidR="00812169" w:rsidRDefault="00812169">
      <w:r>
        <w:separator/>
      </w:r>
    </w:p>
  </w:endnote>
  <w:endnote w:type="continuationSeparator" w:id="0">
    <w:p w14:paraId="715F0A7B" w14:textId="77777777" w:rsidR="00812169" w:rsidRDefault="0081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A05B7" w14:textId="77777777" w:rsidR="006E164D" w:rsidRDefault="006E16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9EC02" w14:textId="77777777" w:rsidR="006E164D" w:rsidRDefault="006E16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312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B6887" w14:textId="77777777" w:rsidR="002B0B0A" w:rsidRDefault="002B0B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16032B" w14:textId="77777777" w:rsidR="006E164D" w:rsidRPr="002E1854" w:rsidRDefault="006E164D">
    <w:pPr>
      <w:pStyle w:val="Footer"/>
      <w:ind w:right="360"/>
      <w:rPr>
        <w:rFonts w:ascii="Garamond" w:hAnsi="Garamond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203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EF8DE" w14:textId="77777777" w:rsidR="002B0B0A" w:rsidRDefault="002B0B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5E2B67" w14:textId="77777777" w:rsidR="006E164D" w:rsidRPr="002B0B0A" w:rsidRDefault="006E164D" w:rsidP="002B0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BB971" w14:textId="77777777" w:rsidR="00812169" w:rsidRDefault="00812169">
      <w:r>
        <w:separator/>
      </w:r>
    </w:p>
  </w:footnote>
  <w:footnote w:type="continuationSeparator" w:id="0">
    <w:p w14:paraId="2938D630" w14:textId="77777777" w:rsidR="00812169" w:rsidRDefault="0081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71FDC" w14:textId="77777777" w:rsidR="00890C6B" w:rsidRPr="002E1854" w:rsidRDefault="00890C6B" w:rsidP="00890C6B">
    <w:pPr>
      <w:rPr>
        <w:rFonts w:ascii="Garamond" w:hAnsi="Garamond"/>
        <w:sz w:val="20"/>
        <w:szCs w:val="20"/>
      </w:rPr>
    </w:pPr>
    <w:r w:rsidRPr="002E1854">
      <w:rPr>
        <w:rFonts w:ascii="Garamond" w:hAnsi="Garamond"/>
        <w:sz w:val="20"/>
        <w:szCs w:val="20"/>
      </w:rPr>
      <w:t>Maryland Departm</w:t>
    </w:r>
    <w:r>
      <w:rPr>
        <w:rFonts w:ascii="Garamond" w:hAnsi="Garamond"/>
        <w:sz w:val="20"/>
        <w:szCs w:val="20"/>
      </w:rPr>
      <w:t xml:space="preserve">ent of Health </w:t>
    </w:r>
  </w:p>
  <w:p w14:paraId="65EE2505" w14:textId="77777777" w:rsidR="00890C6B" w:rsidRDefault="00890C6B" w:rsidP="00890C6B">
    <w:pPr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Center for </w:t>
    </w:r>
    <w:r w:rsidRPr="002E1854">
      <w:rPr>
        <w:rFonts w:ascii="Garamond" w:hAnsi="Garamond"/>
        <w:sz w:val="20"/>
        <w:szCs w:val="20"/>
      </w:rPr>
      <w:t>Tuberculosis Control</w:t>
    </w:r>
    <w:r>
      <w:rPr>
        <w:rFonts w:ascii="Garamond" w:hAnsi="Garamond"/>
        <w:sz w:val="20"/>
        <w:szCs w:val="20"/>
      </w:rPr>
      <w:t xml:space="preserve"> and Prevention</w:t>
    </w:r>
  </w:p>
  <w:p w14:paraId="7C0F1272" w14:textId="64A72782" w:rsidR="00890C6B" w:rsidRPr="002B0B0A" w:rsidRDefault="00B33EA2" w:rsidP="00890C6B">
    <w:pPr>
      <w:rPr>
        <w:rFonts w:ascii="Garamond" w:hAnsi="Garamond"/>
        <w:sz w:val="20"/>
        <w:szCs w:val="20"/>
      </w:rPr>
    </w:pPr>
    <w:r w:rsidRPr="002B0B0A">
      <w:rPr>
        <w:rFonts w:ascii="Garamond" w:hAnsi="Garamond"/>
        <w:sz w:val="20"/>
        <w:szCs w:val="20"/>
      </w:rPr>
      <w:t xml:space="preserve">Instructions for Completing the TB Contact Investigation </w:t>
    </w:r>
    <w:r>
      <w:rPr>
        <w:rFonts w:ascii="Garamond" w:hAnsi="Garamond"/>
        <w:sz w:val="20"/>
        <w:szCs w:val="20"/>
      </w:rPr>
      <w:t>Data in NEDSS_2021</w:t>
    </w:r>
    <w:r w:rsidRPr="002B0B0A">
      <w:rPr>
        <w:rFonts w:ascii="Garamond" w:hAnsi="Garamond"/>
        <w:sz w:val="20"/>
        <w:szCs w:val="20"/>
      </w:rPr>
      <w:t xml:space="preserve">                                          </w:t>
    </w:r>
  </w:p>
  <w:p w14:paraId="69439340" w14:textId="77777777" w:rsidR="00890C6B" w:rsidRPr="00890C6B" w:rsidRDefault="00890C6B" w:rsidP="00890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2F244" w14:textId="77777777" w:rsidR="006E164D" w:rsidRPr="002E1854" w:rsidRDefault="006E164D" w:rsidP="002E1854">
    <w:pPr>
      <w:rPr>
        <w:rFonts w:ascii="Garamond" w:hAnsi="Garamond"/>
        <w:sz w:val="20"/>
        <w:szCs w:val="20"/>
      </w:rPr>
    </w:pPr>
    <w:r w:rsidRPr="002E1854">
      <w:rPr>
        <w:rFonts w:ascii="Garamond" w:hAnsi="Garamond"/>
        <w:sz w:val="20"/>
        <w:szCs w:val="20"/>
      </w:rPr>
      <w:t>Maryland Departm</w:t>
    </w:r>
    <w:r w:rsidR="00890C6B">
      <w:rPr>
        <w:rFonts w:ascii="Garamond" w:hAnsi="Garamond"/>
        <w:sz w:val="20"/>
        <w:szCs w:val="20"/>
      </w:rPr>
      <w:t xml:space="preserve">ent of Health </w:t>
    </w:r>
  </w:p>
  <w:p w14:paraId="6554E747" w14:textId="77777777" w:rsidR="006E164D" w:rsidRDefault="006E164D" w:rsidP="002E1854">
    <w:pPr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Center for </w:t>
    </w:r>
    <w:r w:rsidRPr="002E1854">
      <w:rPr>
        <w:rFonts w:ascii="Garamond" w:hAnsi="Garamond"/>
        <w:sz w:val="20"/>
        <w:szCs w:val="20"/>
      </w:rPr>
      <w:t>Tuberculosis Control</w:t>
    </w:r>
    <w:r>
      <w:rPr>
        <w:rFonts w:ascii="Garamond" w:hAnsi="Garamond"/>
        <w:sz w:val="20"/>
        <w:szCs w:val="20"/>
      </w:rPr>
      <w:t xml:space="preserve"> and Prevention</w:t>
    </w:r>
  </w:p>
  <w:p w14:paraId="05398110" w14:textId="17062600" w:rsidR="00890C6B" w:rsidRPr="002B0B0A" w:rsidRDefault="00890C6B" w:rsidP="002E1854">
    <w:pPr>
      <w:rPr>
        <w:rFonts w:ascii="Garamond" w:hAnsi="Garamond"/>
        <w:sz w:val="20"/>
        <w:szCs w:val="20"/>
      </w:rPr>
    </w:pPr>
    <w:r w:rsidRPr="002B0B0A">
      <w:rPr>
        <w:rFonts w:ascii="Garamond" w:hAnsi="Garamond"/>
        <w:sz w:val="20"/>
        <w:szCs w:val="20"/>
      </w:rPr>
      <w:t xml:space="preserve">Instructions for Completing the TB Contact Investigation </w:t>
    </w:r>
    <w:r w:rsidR="00DD5A67">
      <w:rPr>
        <w:rFonts w:ascii="Garamond" w:hAnsi="Garamond"/>
        <w:sz w:val="20"/>
        <w:szCs w:val="20"/>
      </w:rPr>
      <w:t>Data in NEDSS</w:t>
    </w:r>
    <w:r w:rsidRPr="002B0B0A">
      <w:rPr>
        <w:rFonts w:ascii="Garamond" w:hAnsi="Garamond"/>
        <w:sz w:val="20"/>
        <w:szCs w:val="20"/>
      </w:rPr>
      <w:t xml:space="preserve">                                          </w:t>
    </w:r>
  </w:p>
  <w:p w14:paraId="0A18F65E" w14:textId="77777777" w:rsidR="00890C6B" w:rsidRPr="002E1854" w:rsidRDefault="00890C6B" w:rsidP="002E1854">
    <w:pPr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6646B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A27B3"/>
    <w:multiLevelType w:val="hybridMultilevel"/>
    <w:tmpl w:val="88DA9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16D8D"/>
    <w:multiLevelType w:val="hybridMultilevel"/>
    <w:tmpl w:val="2BAEFF94"/>
    <w:lvl w:ilvl="0" w:tplc="7902A0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62E03D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35273B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87F682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7CAC6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01E43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219836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6FD81D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9DAA12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" w15:restartNumberingAfterBreak="0">
    <w:nsid w:val="07F4565E"/>
    <w:multiLevelType w:val="hybridMultilevel"/>
    <w:tmpl w:val="5C187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B18A4"/>
    <w:multiLevelType w:val="hybridMultilevel"/>
    <w:tmpl w:val="22A449C6"/>
    <w:lvl w:ilvl="0" w:tplc="632CE8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A154B"/>
    <w:multiLevelType w:val="hybridMultilevel"/>
    <w:tmpl w:val="27EA8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51B8"/>
    <w:multiLevelType w:val="hybridMultilevel"/>
    <w:tmpl w:val="AC665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315C0"/>
    <w:multiLevelType w:val="hybridMultilevel"/>
    <w:tmpl w:val="34B0A2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95F7F"/>
    <w:multiLevelType w:val="hybridMultilevel"/>
    <w:tmpl w:val="B88E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F2DAD"/>
    <w:multiLevelType w:val="multilevel"/>
    <w:tmpl w:val="1C68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302BD"/>
    <w:multiLevelType w:val="hybridMultilevel"/>
    <w:tmpl w:val="58227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7359A"/>
    <w:multiLevelType w:val="hybridMultilevel"/>
    <w:tmpl w:val="30323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73E15"/>
    <w:multiLevelType w:val="hybridMultilevel"/>
    <w:tmpl w:val="E58CD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51237"/>
    <w:multiLevelType w:val="hybridMultilevel"/>
    <w:tmpl w:val="A6BE3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9226B0"/>
    <w:multiLevelType w:val="hybridMultilevel"/>
    <w:tmpl w:val="BB2C10C8"/>
    <w:lvl w:ilvl="0" w:tplc="164A8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8D6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EF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08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44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AF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A0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60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C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6430F"/>
    <w:multiLevelType w:val="hybridMultilevel"/>
    <w:tmpl w:val="8F508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E37DA"/>
    <w:multiLevelType w:val="hybridMultilevel"/>
    <w:tmpl w:val="D6669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B75E71"/>
    <w:multiLevelType w:val="multilevel"/>
    <w:tmpl w:val="9CB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F5D8C"/>
    <w:multiLevelType w:val="hybridMultilevel"/>
    <w:tmpl w:val="A41C325A"/>
    <w:lvl w:ilvl="0" w:tplc="632CE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4C712F"/>
    <w:multiLevelType w:val="multilevel"/>
    <w:tmpl w:val="16981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5072E"/>
    <w:multiLevelType w:val="hybridMultilevel"/>
    <w:tmpl w:val="64489E42"/>
    <w:lvl w:ilvl="0" w:tplc="632CE8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7E1176"/>
    <w:multiLevelType w:val="hybridMultilevel"/>
    <w:tmpl w:val="15DE3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D0484"/>
    <w:multiLevelType w:val="hybridMultilevel"/>
    <w:tmpl w:val="D368D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4E3BE2"/>
    <w:multiLevelType w:val="hybridMultilevel"/>
    <w:tmpl w:val="093A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94732"/>
    <w:multiLevelType w:val="hybridMultilevel"/>
    <w:tmpl w:val="4A6C7A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5365C2"/>
    <w:multiLevelType w:val="hybridMultilevel"/>
    <w:tmpl w:val="30D489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680EBF"/>
    <w:multiLevelType w:val="hybridMultilevel"/>
    <w:tmpl w:val="FA7E6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3B138B"/>
    <w:multiLevelType w:val="hybridMultilevel"/>
    <w:tmpl w:val="E2EC05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B11099"/>
    <w:multiLevelType w:val="hybridMultilevel"/>
    <w:tmpl w:val="44A85AC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10019">
    <w:abstractNumId w:val="28"/>
  </w:num>
  <w:num w:numId="2" w16cid:durableId="1213156041">
    <w:abstractNumId w:val="24"/>
  </w:num>
  <w:num w:numId="3" w16cid:durableId="792870465">
    <w:abstractNumId w:val="12"/>
  </w:num>
  <w:num w:numId="4" w16cid:durableId="191235408">
    <w:abstractNumId w:val="6"/>
  </w:num>
  <w:num w:numId="5" w16cid:durableId="449936569">
    <w:abstractNumId w:val="27"/>
  </w:num>
  <w:num w:numId="6" w16cid:durableId="679702569">
    <w:abstractNumId w:val="22"/>
  </w:num>
  <w:num w:numId="7" w16cid:durableId="899093735">
    <w:abstractNumId w:val="26"/>
  </w:num>
  <w:num w:numId="8" w16cid:durableId="732655774">
    <w:abstractNumId w:val="10"/>
  </w:num>
  <w:num w:numId="9" w16cid:durableId="212814708">
    <w:abstractNumId w:val="25"/>
  </w:num>
  <w:num w:numId="10" w16cid:durableId="64109884">
    <w:abstractNumId w:val="15"/>
  </w:num>
  <w:num w:numId="11" w16cid:durableId="592670076">
    <w:abstractNumId w:val="18"/>
  </w:num>
  <w:num w:numId="12" w16cid:durableId="2142190075">
    <w:abstractNumId w:val="19"/>
  </w:num>
  <w:num w:numId="13" w16cid:durableId="309407852">
    <w:abstractNumId w:val="4"/>
  </w:num>
  <w:num w:numId="14" w16cid:durableId="1521431393">
    <w:abstractNumId w:val="20"/>
  </w:num>
  <w:num w:numId="15" w16cid:durableId="410932474">
    <w:abstractNumId w:val="21"/>
  </w:num>
  <w:num w:numId="16" w16cid:durableId="1857386027">
    <w:abstractNumId w:val="8"/>
  </w:num>
  <w:num w:numId="17" w16cid:durableId="1571116013">
    <w:abstractNumId w:val="2"/>
  </w:num>
  <w:num w:numId="18" w16cid:durableId="384187855">
    <w:abstractNumId w:val="1"/>
  </w:num>
  <w:num w:numId="19" w16cid:durableId="1272666983">
    <w:abstractNumId w:val="11"/>
  </w:num>
  <w:num w:numId="20" w16cid:durableId="514266753">
    <w:abstractNumId w:val="0"/>
  </w:num>
  <w:num w:numId="21" w16cid:durableId="531310649">
    <w:abstractNumId w:val="16"/>
  </w:num>
  <w:num w:numId="22" w16cid:durableId="1000035929">
    <w:abstractNumId w:val="14"/>
  </w:num>
  <w:num w:numId="23" w16cid:durableId="1814709893">
    <w:abstractNumId w:val="7"/>
  </w:num>
  <w:num w:numId="24" w16cid:durableId="1759524287">
    <w:abstractNumId w:val="5"/>
  </w:num>
  <w:num w:numId="25" w16cid:durableId="2068338201">
    <w:abstractNumId w:val="13"/>
  </w:num>
  <w:num w:numId="26" w16cid:durableId="1284075815">
    <w:abstractNumId w:val="17"/>
  </w:num>
  <w:num w:numId="27" w16cid:durableId="1705639936">
    <w:abstractNumId w:val="9"/>
  </w:num>
  <w:num w:numId="28" w16cid:durableId="2011523281">
    <w:abstractNumId w:val="23"/>
  </w:num>
  <w:num w:numId="29" w16cid:durableId="2011523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54"/>
    <w:rsid w:val="00004553"/>
    <w:rsid w:val="00032473"/>
    <w:rsid w:val="000A7C1C"/>
    <w:rsid w:val="000B3D25"/>
    <w:rsid w:val="000C1D9E"/>
    <w:rsid w:val="000C5499"/>
    <w:rsid w:val="000C5502"/>
    <w:rsid w:val="000E5A2B"/>
    <w:rsid w:val="00111C67"/>
    <w:rsid w:val="001148FE"/>
    <w:rsid w:val="00161116"/>
    <w:rsid w:val="00170BC9"/>
    <w:rsid w:val="001771DA"/>
    <w:rsid w:val="00185D32"/>
    <w:rsid w:val="001B4693"/>
    <w:rsid w:val="00251344"/>
    <w:rsid w:val="002B0B0A"/>
    <w:rsid w:val="002E1854"/>
    <w:rsid w:val="002E6B06"/>
    <w:rsid w:val="00313EB4"/>
    <w:rsid w:val="00392379"/>
    <w:rsid w:val="00405EB0"/>
    <w:rsid w:val="0042093A"/>
    <w:rsid w:val="00433B4B"/>
    <w:rsid w:val="0047185B"/>
    <w:rsid w:val="004A35BC"/>
    <w:rsid w:val="004C24FB"/>
    <w:rsid w:val="004E31A2"/>
    <w:rsid w:val="004E5C29"/>
    <w:rsid w:val="00505F11"/>
    <w:rsid w:val="00520EE7"/>
    <w:rsid w:val="0055338C"/>
    <w:rsid w:val="00572856"/>
    <w:rsid w:val="00584A96"/>
    <w:rsid w:val="005A6216"/>
    <w:rsid w:val="005D2632"/>
    <w:rsid w:val="00623D31"/>
    <w:rsid w:val="006544D3"/>
    <w:rsid w:val="00685852"/>
    <w:rsid w:val="0069142C"/>
    <w:rsid w:val="006D0EBB"/>
    <w:rsid w:val="006E164D"/>
    <w:rsid w:val="00720D0C"/>
    <w:rsid w:val="00726D9B"/>
    <w:rsid w:val="00757BC2"/>
    <w:rsid w:val="007A4BFC"/>
    <w:rsid w:val="00812169"/>
    <w:rsid w:val="00841C53"/>
    <w:rsid w:val="00847C3A"/>
    <w:rsid w:val="00867142"/>
    <w:rsid w:val="008671E1"/>
    <w:rsid w:val="00890C6B"/>
    <w:rsid w:val="008A1A12"/>
    <w:rsid w:val="008A2C5D"/>
    <w:rsid w:val="008B0C6D"/>
    <w:rsid w:val="008C7A1A"/>
    <w:rsid w:val="008F0C5F"/>
    <w:rsid w:val="0091338C"/>
    <w:rsid w:val="00947CCF"/>
    <w:rsid w:val="00953989"/>
    <w:rsid w:val="0096689A"/>
    <w:rsid w:val="00967DB3"/>
    <w:rsid w:val="009B009E"/>
    <w:rsid w:val="009B664C"/>
    <w:rsid w:val="009C047A"/>
    <w:rsid w:val="009D7FED"/>
    <w:rsid w:val="009E29F7"/>
    <w:rsid w:val="00A44662"/>
    <w:rsid w:val="00A52DC6"/>
    <w:rsid w:val="00A816D0"/>
    <w:rsid w:val="00AA775E"/>
    <w:rsid w:val="00AE1AD8"/>
    <w:rsid w:val="00AF3254"/>
    <w:rsid w:val="00B25BA5"/>
    <w:rsid w:val="00B33EA2"/>
    <w:rsid w:val="00B46DE5"/>
    <w:rsid w:val="00B5412D"/>
    <w:rsid w:val="00B60465"/>
    <w:rsid w:val="00B74D91"/>
    <w:rsid w:val="00B97830"/>
    <w:rsid w:val="00BC3410"/>
    <w:rsid w:val="00BF66C0"/>
    <w:rsid w:val="00C14AF5"/>
    <w:rsid w:val="00C4036C"/>
    <w:rsid w:val="00C4583C"/>
    <w:rsid w:val="00C7027C"/>
    <w:rsid w:val="00CB1228"/>
    <w:rsid w:val="00CD0C33"/>
    <w:rsid w:val="00D402F3"/>
    <w:rsid w:val="00D47C33"/>
    <w:rsid w:val="00D61A20"/>
    <w:rsid w:val="00D94589"/>
    <w:rsid w:val="00DA38C1"/>
    <w:rsid w:val="00DC362C"/>
    <w:rsid w:val="00DC7608"/>
    <w:rsid w:val="00DD5A67"/>
    <w:rsid w:val="00DF4238"/>
    <w:rsid w:val="00E0112B"/>
    <w:rsid w:val="00E26D81"/>
    <w:rsid w:val="00E40E04"/>
    <w:rsid w:val="00E8285D"/>
    <w:rsid w:val="00E84A7F"/>
    <w:rsid w:val="00E90BE7"/>
    <w:rsid w:val="00E95FE9"/>
    <w:rsid w:val="00EA76FF"/>
    <w:rsid w:val="00EE476A"/>
    <w:rsid w:val="00F04479"/>
    <w:rsid w:val="00F069C6"/>
    <w:rsid w:val="00F17796"/>
    <w:rsid w:val="00F4486A"/>
    <w:rsid w:val="00F831DB"/>
    <w:rsid w:val="00FB04ED"/>
    <w:rsid w:val="00FB099E"/>
    <w:rsid w:val="00F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E9323"/>
  <w15:docId w15:val="{A115ED38-EFF2-4C9E-882B-65A06A8D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C6D"/>
    <w:rPr>
      <w:sz w:val="24"/>
      <w:szCs w:val="24"/>
    </w:rPr>
  </w:style>
  <w:style w:type="paragraph" w:styleId="Heading1">
    <w:name w:val="heading 1"/>
    <w:basedOn w:val="Normal"/>
    <w:next w:val="Normal"/>
    <w:qFormat/>
    <w:rsid w:val="008B0C6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B0C6D"/>
    <w:pPr>
      <w:keepNext/>
      <w:jc w:val="both"/>
      <w:outlineLvl w:val="1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C6D"/>
    <w:pPr>
      <w:jc w:val="both"/>
    </w:pPr>
  </w:style>
  <w:style w:type="paragraph" w:styleId="BodyText2">
    <w:name w:val="Body Text 2"/>
    <w:basedOn w:val="Normal"/>
    <w:rsid w:val="008B0C6D"/>
    <w:pPr>
      <w:jc w:val="both"/>
    </w:pPr>
    <w:rPr>
      <w:b/>
      <w:bCs/>
    </w:rPr>
  </w:style>
  <w:style w:type="paragraph" w:styleId="Footer">
    <w:name w:val="footer"/>
    <w:basedOn w:val="Normal"/>
    <w:link w:val="FooterChar"/>
    <w:uiPriority w:val="99"/>
    <w:rsid w:val="008B0C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0C6D"/>
  </w:style>
  <w:style w:type="paragraph" w:styleId="Header">
    <w:name w:val="header"/>
    <w:basedOn w:val="Normal"/>
    <w:rsid w:val="008B0C6D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C7027C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3989"/>
    <w:rPr>
      <w:sz w:val="24"/>
      <w:szCs w:val="24"/>
    </w:rPr>
  </w:style>
  <w:style w:type="paragraph" w:styleId="BalloonText">
    <w:name w:val="Balloon Text"/>
    <w:basedOn w:val="Normal"/>
    <w:link w:val="BalloonTextChar"/>
    <w:rsid w:val="00953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9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852"/>
    <w:pPr>
      <w:ind w:left="720"/>
      <w:contextualSpacing/>
    </w:pPr>
  </w:style>
  <w:style w:type="paragraph" w:styleId="ListBullet">
    <w:name w:val="List Bullet"/>
    <w:basedOn w:val="Normal"/>
    <w:rsid w:val="009C047A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5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1DA65255D14AA3BDA1FE9B423E01" ma:contentTypeVersion="67" ma:contentTypeDescription="Create a new document." ma:contentTypeScope="" ma:versionID="1cd1c3f7cccb58c3db2c8cd7705f57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83121-D90B-4A81-AF7E-C420E14CF4B5}"/>
</file>

<file path=customXml/itemProps2.xml><?xml version="1.0" encoding="utf-8"?>
<ds:datastoreItem xmlns:ds="http://schemas.openxmlformats.org/officeDocument/2006/customXml" ds:itemID="{A0822E74-8DA3-42F6-A757-5BE5DC6DB930}"/>
</file>

<file path=customXml/itemProps3.xml><?xml version="1.0" encoding="utf-8"?>
<ds:datastoreItem xmlns:ds="http://schemas.openxmlformats.org/officeDocument/2006/customXml" ds:itemID="{650F8C82-7C9E-4918-B443-51C9F984F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Health and Mental Hygiene</vt:lpstr>
    </vt:vector>
  </TitlesOfParts>
  <Company>DHMH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Health and Mental Hygiene</dc:title>
  <dc:creator>MinerM</dc:creator>
  <cp:lastModifiedBy>Cherie Helfrich</cp:lastModifiedBy>
  <cp:revision>2</cp:revision>
  <cp:lastPrinted>2011-07-06T10:46:00Z</cp:lastPrinted>
  <dcterms:created xsi:type="dcterms:W3CDTF">2024-10-10T14:56:00Z</dcterms:created>
  <dcterms:modified xsi:type="dcterms:W3CDTF">2024-10-10T14:56:00Z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0x010100A65F1DA65255D14AA3BDA1FE9B423E01</vt:lpwstr>
  </property>
</Properties>
</file>