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D39" w:rsidRDefault="00D27D39" w:rsidP="00D27D39">
      <w:pPr>
        <w:shd w:val="clear" w:color="auto" w:fill="FFFFFF"/>
        <w:jc w:val="center"/>
        <w:outlineLvl w:val="1"/>
        <w:rPr>
          <w:rFonts w:ascii="Times New Roman" w:eastAsia="Times New Roman" w:hAnsi="Times New Roman" w:cs="Times New Roman"/>
          <w:b/>
          <w:bCs/>
          <w:color w:val="0E285F"/>
          <w:kern w:val="36"/>
          <w:sz w:val="24"/>
          <w:szCs w:val="24"/>
        </w:rPr>
      </w:pPr>
      <w:bookmarkStart w:id="0" w:name="_GoBack"/>
      <w:bookmarkEnd w:id="0"/>
      <w:r>
        <w:rPr>
          <w:rFonts w:ascii="Times New Roman" w:eastAsia="Times New Roman" w:hAnsi="Times New Roman" w:cs="Times New Roman"/>
          <w:b/>
          <w:bCs/>
          <w:color w:val="0E285F"/>
          <w:kern w:val="36"/>
          <w:sz w:val="24"/>
          <w:szCs w:val="24"/>
        </w:rPr>
        <w:t>Maryland Department of Health and Mental Hygiene</w:t>
      </w:r>
    </w:p>
    <w:p w:rsidR="00D27D39" w:rsidRPr="00D27D39" w:rsidRDefault="00D27D39" w:rsidP="00D27D39">
      <w:pPr>
        <w:shd w:val="clear" w:color="auto" w:fill="FFFFFF"/>
        <w:jc w:val="center"/>
        <w:outlineLvl w:val="1"/>
        <w:rPr>
          <w:rFonts w:ascii="Times New Roman" w:eastAsia="Times New Roman" w:hAnsi="Times New Roman" w:cs="Times New Roman"/>
          <w:b/>
          <w:bCs/>
          <w:color w:val="0E285F"/>
          <w:kern w:val="36"/>
          <w:sz w:val="24"/>
          <w:szCs w:val="24"/>
        </w:rPr>
      </w:pPr>
      <w:r>
        <w:rPr>
          <w:rFonts w:ascii="Times New Roman" w:eastAsia="Times New Roman" w:hAnsi="Times New Roman" w:cs="Times New Roman"/>
          <w:b/>
          <w:bCs/>
          <w:color w:val="0E285F"/>
          <w:kern w:val="36"/>
          <w:sz w:val="24"/>
          <w:szCs w:val="24"/>
        </w:rPr>
        <w:t>Office of Procurement and Support Services</w:t>
      </w:r>
    </w:p>
    <w:p w:rsidR="00D27D39" w:rsidRDefault="00D27D39" w:rsidP="00D27D39">
      <w:pPr>
        <w:shd w:val="clear" w:color="auto" w:fill="FFFFFF"/>
        <w:jc w:val="center"/>
        <w:outlineLvl w:val="1"/>
        <w:rPr>
          <w:rFonts w:ascii="Times New Roman" w:eastAsia="Times New Roman" w:hAnsi="Times New Roman" w:cs="Times New Roman"/>
          <w:b/>
          <w:bCs/>
          <w:color w:val="0E285F"/>
          <w:kern w:val="36"/>
          <w:sz w:val="36"/>
          <w:szCs w:val="36"/>
        </w:rPr>
      </w:pPr>
      <w:r w:rsidRPr="00D27D39">
        <w:rPr>
          <w:rFonts w:ascii="Times New Roman" w:eastAsia="Times New Roman" w:hAnsi="Times New Roman" w:cs="Times New Roman"/>
          <w:b/>
          <w:bCs/>
          <w:color w:val="0E285F"/>
          <w:kern w:val="36"/>
          <w:sz w:val="36"/>
          <w:szCs w:val="36"/>
        </w:rPr>
        <w:t>Consulting and Technical Services+ (CATS+)</w:t>
      </w:r>
    </w:p>
    <w:p w:rsidR="00F70EA9" w:rsidRPr="00D27D39" w:rsidRDefault="00F70EA9" w:rsidP="00D27D39">
      <w:pPr>
        <w:shd w:val="clear" w:color="auto" w:fill="FFFFFF"/>
        <w:jc w:val="center"/>
        <w:outlineLvl w:val="1"/>
        <w:rPr>
          <w:rFonts w:ascii="Times New Roman" w:eastAsia="Times New Roman" w:hAnsi="Times New Roman" w:cs="Times New Roman"/>
          <w:b/>
          <w:bCs/>
          <w:color w:val="0E285F"/>
          <w:kern w:val="36"/>
          <w:sz w:val="36"/>
          <w:szCs w:val="36"/>
        </w:rPr>
      </w:pPr>
    </w:p>
    <w:p w:rsidR="00D27D39" w:rsidRPr="00D27D39" w:rsidRDefault="00D27D39" w:rsidP="00D27D39">
      <w:pPr>
        <w:shd w:val="clear" w:color="auto" w:fill="FFFFFF"/>
        <w:rPr>
          <w:rFonts w:ascii="Times New Roman" w:eastAsia="Times New Roman" w:hAnsi="Times New Roman" w:cs="Times New Roman"/>
          <w:vanish/>
          <w:color w:val="000000"/>
          <w:sz w:val="24"/>
          <w:szCs w:val="24"/>
        </w:rPr>
      </w:pPr>
    </w:p>
    <w:p w:rsidR="0063523C" w:rsidRPr="0063523C" w:rsidRDefault="0063523C" w:rsidP="00D27D39">
      <w:pPr>
        <w:shd w:val="clear" w:color="auto" w:fill="FFFFFF"/>
        <w:rPr>
          <w:rFonts w:ascii="Times New Roman" w:eastAsia="Times New Roman" w:hAnsi="Times New Roman" w:cs="Times New Roman"/>
          <w:color w:val="000000"/>
          <w:sz w:val="24"/>
          <w:szCs w:val="24"/>
        </w:rPr>
      </w:pPr>
      <w:r w:rsidRPr="0063523C">
        <w:rPr>
          <w:rFonts w:ascii="Times New Roman" w:eastAsia="Times New Roman" w:hAnsi="Times New Roman" w:cs="Times New Roman"/>
          <w:color w:val="000000"/>
          <w:sz w:val="24"/>
          <w:szCs w:val="24"/>
        </w:rPr>
        <w:t>The Consulting and Technical Services+ (CATS+) is a statewide procurement resulting in the award of multiple contracts by the Department of Information Technology to a variety of information technology providers.  Through these CAT+ contracts, Maryland has a flexible means of obtaining Information Technology (IT) resources quickly, efficiently and in a cost effective manner through the issuance of Master Tasks or Task Orders specific to IT needs. It is the Department of Health and Mental Hygiene’s (DHMH) policy that procuring units use the CATS+ for all information technology services procurements.  The only exceptions are approved sole Source procurements or situations where the cost of the CATS+ vendor’s response exceeds the amount budgeted by the procuring units.</w:t>
      </w:r>
    </w:p>
    <w:p w:rsidR="0063523C" w:rsidRPr="0063523C" w:rsidRDefault="0063523C" w:rsidP="00D27D39">
      <w:pPr>
        <w:shd w:val="clear" w:color="auto" w:fill="FFFFFF"/>
        <w:rPr>
          <w:rFonts w:ascii="Times New Roman" w:eastAsia="Times New Roman" w:hAnsi="Times New Roman" w:cs="Times New Roman"/>
          <w:color w:val="000000"/>
          <w:sz w:val="24"/>
          <w:szCs w:val="24"/>
        </w:rPr>
      </w:pPr>
    </w:p>
    <w:p w:rsidR="00D27D39" w:rsidRPr="0063523C" w:rsidRDefault="00D27D39" w:rsidP="00D27D39">
      <w:pPr>
        <w:shd w:val="clear" w:color="auto" w:fill="FFFFFF"/>
        <w:rPr>
          <w:rFonts w:ascii="Times New Roman" w:eastAsia="Times New Roman" w:hAnsi="Times New Roman" w:cs="Times New Roman"/>
          <w:color w:val="000000"/>
          <w:sz w:val="24"/>
          <w:szCs w:val="24"/>
        </w:rPr>
      </w:pPr>
      <w:r w:rsidRPr="00D27D39">
        <w:rPr>
          <w:rFonts w:ascii="Times New Roman" w:eastAsia="Times New Roman" w:hAnsi="Times New Roman" w:cs="Times New Roman"/>
          <w:color w:val="000000"/>
          <w:sz w:val="24"/>
          <w:szCs w:val="24"/>
        </w:rPr>
        <w:t>The objective of this Master Contract, effective April 22, 2013 through April 21, 2028, is to enable State government to procure IT consulting and technical services in a timely and economical manner. Through CATS+, the State will have a flexible means of obtaining information technology (IT) resources quickly, efficiently and cost effectively by issuing task orders specific to its needs.</w:t>
      </w:r>
    </w:p>
    <w:p w:rsidR="00D27D39" w:rsidRPr="0063523C" w:rsidRDefault="00D27D39" w:rsidP="00D27D39">
      <w:pPr>
        <w:shd w:val="clear" w:color="auto" w:fill="FFFFFF"/>
        <w:rPr>
          <w:rFonts w:ascii="Times New Roman" w:eastAsia="Times New Roman" w:hAnsi="Times New Roman" w:cs="Times New Roman"/>
          <w:color w:val="000000"/>
          <w:sz w:val="24"/>
          <w:szCs w:val="24"/>
        </w:rPr>
      </w:pPr>
    </w:p>
    <w:p w:rsidR="00D27D39" w:rsidRPr="0063523C" w:rsidRDefault="0063523C" w:rsidP="00D27D39">
      <w:pPr>
        <w:shd w:val="clear" w:color="auto" w:fill="FFFFFF"/>
        <w:rPr>
          <w:rFonts w:ascii="Times New Roman" w:eastAsia="Times New Roman" w:hAnsi="Times New Roman" w:cs="Times New Roman"/>
          <w:color w:val="000000"/>
          <w:sz w:val="24"/>
          <w:szCs w:val="24"/>
        </w:rPr>
      </w:pPr>
      <w:r w:rsidRPr="0063523C">
        <w:rPr>
          <w:rFonts w:ascii="Times New Roman" w:eastAsia="Times New Roman" w:hAnsi="Times New Roman" w:cs="Times New Roman"/>
          <w:color w:val="000000"/>
          <w:sz w:val="24"/>
          <w:szCs w:val="24"/>
        </w:rPr>
        <w:t>There are 17 functional areas under CATS+:</w:t>
      </w:r>
    </w:p>
    <w:p w:rsidR="0063523C" w:rsidRPr="0063523C" w:rsidRDefault="0063523C" w:rsidP="00D27D39">
      <w:pPr>
        <w:shd w:val="clear" w:color="auto" w:fill="FFFFFF"/>
        <w:rPr>
          <w:rFonts w:ascii="Times New Roman" w:eastAsia="Times New Roman" w:hAnsi="Times New Roman" w:cs="Times New Roman"/>
          <w:color w:val="000000"/>
          <w:sz w:val="24"/>
          <w:szCs w:val="24"/>
        </w:rPr>
      </w:pPr>
    </w:p>
    <w:p w:rsidR="00F70EA9" w:rsidRDefault="0063523C" w:rsidP="0063523C">
      <w:pPr>
        <w:shd w:val="clear" w:color="auto" w:fill="FFFFFF"/>
        <w:rPr>
          <w:rFonts w:ascii="Times New Roman" w:eastAsia="Times New Roman" w:hAnsi="Times New Roman" w:cs="Times New Roman"/>
          <w:color w:val="000000"/>
          <w:sz w:val="24"/>
          <w:szCs w:val="24"/>
        </w:rPr>
      </w:pPr>
      <w:r w:rsidRPr="0063523C">
        <w:rPr>
          <w:rFonts w:ascii="Times New Roman" w:eastAsia="Times New Roman" w:hAnsi="Times New Roman" w:cs="Times New Roman"/>
          <w:color w:val="000000"/>
          <w:sz w:val="24"/>
          <w:szCs w:val="24"/>
        </w:rPr>
        <w:t xml:space="preserve">For a more detailed description and examples of each Functional Area, a list of Master Contractors in each Functional Area, their contact information and email distribution lists, click on the name of each Functional Area below. </w:t>
      </w:r>
    </w:p>
    <w:p w:rsidR="00F70EA9" w:rsidRDefault="00F70EA9" w:rsidP="0063523C">
      <w:pPr>
        <w:shd w:val="clear" w:color="auto" w:fill="FFFFFF"/>
        <w:rPr>
          <w:rFonts w:ascii="Times New Roman" w:eastAsia="Times New Roman" w:hAnsi="Times New Roman" w:cs="Times New Roman"/>
          <w:color w:val="000000"/>
          <w:sz w:val="24"/>
          <w:szCs w:val="24"/>
        </w:rPr>
      </w:pPr>
    </w:p>
    <w:p w:rsidR="00F70EA9" w:rsidRDefault="0063523C" w:rsidP="0063523C">
      <w:pPr>
        <w:shd w:val="clear" w:color="auto" w:fill="FFFFFF"/>
        <w:rPr>
          <w:rFonts w:ascii="Times New Roman" w:eastAsia="Times New Roman" w:hAnsi="Times New Roman" w:cs="Times New Roman"/>
          <w:color w:val="000000"/>
          <w:sz w:val="24"/>
          <w:szCs w:val="24"/>
        </w:rPr>
      </w:pPr>
      <w:hyperlink r:id="rId7" w:history="1">
        <w:r w:rsidRPr="0063523C">
          <w:rPr>
            <w:rFonts w:ascii="Times New Roman" w:eastAsia="Times New Roman" w:hAnsi="Times New Roman" w:cs="Times New Roman"/>
            <w:b/>
            <w:bCs/>
            <w:color w:val="000099"/>
            <w:sz w:val="24"/>
            <w:szCs w:val="24"/>
          </w:rPr>
          <w:t>Functional Area 1 - Enterprise Service Provider (ESP)</w:t>
        </w:r>
      </w:hyperlink>
      <w:r w:rsidRPr="0063523C">
        <w:rPr>
          <w:rFonts w:ascii="Times New Roman" w:eastAsia="Times New Roman" w:hAnsi="Times New Roman" w:cs="Times New Roman"/>
          <w:color w:val="000000"/>
          <w:sz w:val="24"/>
          <w:szCs w:val="24"/>
        </w:rPr>
        <w:t>. Services to ensure that information systems are designed to capitalize on agency architectures and State IT standards, provide interoperability with other systems and networks, be reliable and maintainable, and make the most cost-effective use of commercial off-the-shelf (COTS) technology and agency-wide and government-wide resources.</w:t>
      </w:r>
    </w:p>
    <w:p w:rsidR="00F70EA9" w:rsidRDefault="00F70EA9" w:rsidP="0063523C">
      <w:pPr>
        <w:shd w:val="clear" w:color="auto" w:fill="FFFFFF"/>
        <w:rPr>
          <w:rFonts w:ascii="Times New Roman" w:eastAsia="Times New Roman" w:hAnsi="Times New Roman" w:cs="Times New Roman"/>
          <w:color w:val="000000"/>
          <w:sz w:val="24"/>
          <w:szCs w:val="24"/>
        </w:rPr>
      </w:pPr>
    </w:p>
    <w:p w:rsidR="00F70EA9" w:rsidRDefault="0063523C" w:rsidP="0063523C">
      <w:pPr>
        <w:shd w:val="clear" w:color="auto" w:fill="FFFFFF"/>
        <w:rPr>
          <w:rFonts w:ascii="Times New Roman" w:eastAsia="Times New Roman" w:hAnsi="Times New Roman" w:cs="Times New Roman"/>
          <w:color w:val="000000"/>
          <w:sz w:val="24"/>
          <w:szCs w:val="24"/>
        </w:rPr>
      </w:pPr>
      <w:hyperlink r:id="rId8" w:history="1">
        <w:r w:rsidRPr="0063523C">
          <w:rPr>
            <w:rFonts w:ascii="Times New Roman" w:eastAsia="Times New Roman" w:hAnsi="Times New Roman" w:cs="Times New Roman"/>
            <w:b/>
            <w:bCs/>
            <w:color w:val="000099"/>
            <w:sz w:val="24"/>
            <w:szCs w:val="24"/>
          </w:rPr>
          <w:t>Functional Area 2 - Web and Internet Systems</w:t>
        </w:r>
      </w:hyperlink>
      <w:r w:rsidRPr="0063523C">
        <w:rPr>
          <w:rFonts w:ascii="Times New Roman" w:eastAsia="Times New Roman" w:hAnsi="Times New Roman" w:cs="Times New Roman"/>
          <w:color w:val="000000"/>
          <w:sz w:val="24"/>
          <w:szCs w:val="24"/>
        </w:rPr>
        <w:t>. A broad range of business solutions and support using the capabilities of the web and Internet; design, develop, test, implement and maintain web sites, portals, web applications and web services and the associated hardware, software, network and security components that comprise these solutions.</w:t>
      </w:r>
    </w:p>
    <w:p w:rsidR="00F70EA9" w:rsidRDefault="00F70EA9" w:rsidP="0063523C">
      <w:pPr>
        <w:shd w:val="clear" w:color="auto" w:fill="FFFFFF"/>
        <w:rPr>
          <w:rFonts w:ascii="Times New Roman" w:eastAsia="Times New Roman" w:hAnsi="Times New Roman" w:cs="Times New Roman"/>
          <w:color w:val="000000"/>
          <w:sz w:val="24"/>
          <w:szCs w:val="24"/>
        </w:rPr>
      </w:pPr>
    </w:p>
    <w:p w:rsidR="00F70EA9" w:rsidRDefault="0063523C" w:rsidP="0063523C">
      <w:pPr>
        <w:shd w:val="clear" w:color="auto" w:fill="FFFFFF"/>
        <w:rPr>
          <w:rFonts w:ascii="Times New Roman" w:eastAsia="Times New Roman" w:hAnsi="Times New Roman" w:cs="Times New Roman"/>
          <w:color w:val="000000"/>
          <w:sz w:val="24"/>
          <w:szCs w:val="24"/>
        </w:rPr>
      </w:pPr>
      <w:r w:rsidRPr="0063523C">
        <w:rPr>
          <w:rFonts w:ascii="Times New Roman" w:eastAsia="Times New Roman" w:hAnsi="Times New Roman" w:cs="Times New Roman"/>
          <w:color w:val="000000"/>
          <w:sz w:val="24"/>
          <w:szCs w:val="24"/>
        </w:rPr>
        <w:t>.</w:t>
      </w:r>
      <w:hyperlink r:id="rId9" w:history="1">
        <w:r w:rsidRPr="0063523C">
          <w:rPr>
            <w:rFonts w:ascii="Times New Roman" w:eastAsia="Times New Roman" w:hAnsi="Times New Roman" w:cs="Times New Roman"/>
            <w:b/>
            <w:bCs/>
            <w:color w:val="000099"/>
            <w:sz w:val="24"/>
            <w:szCs w:val="24"/>
          </w:rPr>
          <w:t>Functional Area 3 - Electronic Document Management.</w:t>
        </w:r>
      </w:hyperlink>
      <w:r w:rsidRPr="0063523C">
        <w:rPr>
          <w:rFonts w:ascii="Times New Roman" w:eastAsia="Times New Roman" w:hAnsi="Times New Roman" w:cs="Times New Roman"/>
          <w:color w:val="000000"/>
          <w:sz w:val="24"/>
          <w:szCs w:val="24"/>
        </w:rPr>
        <w:t xml:space="preserve"> Service to establish or maintain electronic document imaging, document management, document workflow, and associated technologies.</w:t>
      </w:r>
    </w:p>
    <w:p w:rsidR="00F70EA9" w:rsidRDefault="00F70EA9" w:rsidP="0063523C">
      <w:pPr>
        <w:shd w:val="clear" w:color="auto" w:fill="FFFFFF"/>
        <w:rPr>
          <w:rFonts w:ascii="Times New Roman" w:eastAsia="Times New Roman" w:hAnsi="Times New Roman" w:cs="Times New Roman"/>
          <w:color w:val="000000"/>
          <w:sz w:val="24"/>
          <w:szCs w:val="24"/>
        </w:rPr>
      </w:pPr>
    </w:p>
    <w:p w:rsidR="00F70EA9" w:rsidRDefault="00F70EA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F70EA9" w:rsidRDefault="0063523C" w:rsidP="0063523C">
      <w:pPr>
        <w:shd w:val="clear" w:color="auto" w:fill="FFFFFF"/>
        <w:rPr>
          <w:rFonts w:ascii="Times New Roman" w:eastAsia="Times New Roman" w:hAnsi="Times New Roman" w:cs="Times New Roman"/>
          <w:color w:val="000000"/>
          <w:sz w:val="24"/>
          <w:szCs w:val="24"/>
        </w:rPr>
      </w:pPr>
      <w:hyperlink r:id="rId10" w:history="1">
        <w:r w:rsidRPr="0063523C">
          <w:rPr>
            <w:rFonts w:ascii="Times New Roman" w:eastAsia="Times New Roman" w:hAnsi="Times New Roman" w:cs="Times New Roman"/>
            <w:b/>
            <w:bCs/>
            <w:color w:val="000099"/>
            <w:sz w:val="24"/>
            <w:szCs w:val="24"/>
          </w:rPr>
          <w:t>Functional Area 4 - Geographical Information Systems.</w:t>
        </w:r>
      </w:hyperlink>
      <w:r w:rsidRPr="0063523C">
        <w:rPr>
          <w:rFonts w:ascii="Times New Roman" w:eastAsia="Times New Roman" w:hAnsi="Times New Roman" w:cs="Times New Roman"/>
          <w:color w:val="000000"/>
          <w:sz w:val="24"/>
          <w:szCs w:val="24"/>
        </w:rPr>
        <w:t xml:space="preserve"> Service to integrate, store, edit, analyze and display geographically-referenced information in a client/server or web-based environment </w:t>
      </w:r>
    </w:p>
    <w:p w:rsidR="00F70EA9" w:rsidRDefault="00F70EA9">
      <w:pPr>
        <w:rPr>
          <w:rFonts w:ascii="Times New Roman" w:eastAsia="Times New Roman" w:hAnsi="Times New Roman" w:cs="Times New Roman"/>
          <w:color w:val="000000"/>
          <w:sz w:val="24"/>
          <w:szCs w:val="24"/>
        </w:rPr>
      </w:pPr>
    </w:p>
    <w:p w:rsidR="00F70EA9" w:rsidRDefault="0063523C" w:rsidP="0063523C">
      <w:pPr>
        <w:shd w:val="clear" w:color="auto" w:fill="FFFFFF"/>
        <w:rPr>
          <w:rFonts w:ascii="Times New Roman" w:eastAsia="Times New Roman" w:hAnsi="Times New Roman" w:cs="Times New Roman"/>
          <w:color w:val="000000"/>
          <w:sz w:val="24"/>
          <w:szCs w:val="24"/>
        </w:rPr>
      </w:pPr>
      <w:hyperlink r:id="rId11" w:history="1">
        <w:r w:rsidRPr="0063523C">
          <w:rPr>
            <w:rFonts w:ascii="Times New Roman" w:eastAsia="Times New Roman" w:hAnsi="Times New Roman" w:cs="Times New Roman"/>
            <w:b/>
            <w:bCs/>
            <w:color w:val="000099"/>
            <w:sz w:val="24"/>
            <w:szCs w:val="24"/>
          </w:rPr>
          <w:t>Functional Area 5 - Software Engineering.</w:t>
        </w:r>
      </w:hyperlink>
      <w:r w:rsidRPr="0063523C">
        <w:rPr>
          <w:rFonts w:ascii="Times New Roman" w:eastAsia="Times New Roman" w:hAnsi="Times New Roman" w:cs="Times New Roman"/>
          <w:color w:val="000000"/>
          <w:sz w:val="24"/>
          <w:szCs w:val="24"/>
        </w:rPr>
        <w:t xml:space="preserve"> Service to provide full life cycle of a software system development. Process definition; requirements management (project planning, quality assurance, project tracking and oversight, organizational process focus); software metrics; software process assessments; software capability evaluations; software project management; software certification; software validation and verification; open systems; software architecture; software reengineering; software reuse; component-based software; software security; supervising software configuration management; and CASE tools. </w:t>
      </w:r>
    </w:p>
    <w:p w:rsidR="00F70EA9" w:rsidRDefault="00F70EA9" w:rsidP="0063523C">
      <w:pPr>
        <w:shd w:val="clear" w:color="auto" w:fill="FFFFFF"/>
        <w:rPr>
          <w:rFonts w:ascii="Times New Roman" w:eastAsia="Times New Roman" w:hAnsi="Times New Roman" w:cs="Times New Roman"/>
          <w:color w:val="000000"/>
          <w:sz w:val="24"/>
          <w:szCs w:val="24"/>
        </w:rPr>
      </w:pPr>
    </w:p>
    <w:p w:rsidR="00F70EA9" w:rsidRDefault="0063523C" w:rsidP="0063523C">
      <w:pPr>
        <w:shd w:val="clear" w:color="auto" w:fill="FFFFFF"/>
        <w:rPr>
          <w:rFonts w:ascii="Times New Roman" w:eastAsia="Times New Roman" w:hAnsi="Times New Roman" w:cs="Times New Roman"/>
          <w:color w:val="000000"/>
          <w:sz w:val="24"/>
          <w:szCs w:val="24"/>
        </w:rPr>
      </w:pPr>
      <w:hyperlink r:id="rId12" w:history="1">
        <w:r w:rsidRPr="0063523C">
          <w:rPr>
            <w:rFonts w:ascii="Times New Roman" w:eastAsia="Times New Roman" w:hAnsi="Times New Roman" w:cs="Times New Roman"/>
            <w:b/>
            <w:bCs/>
            <w:color w:val="000099"/>
            <w:sz w:val="24"/>
            <w:szCs w:val="24"/>
          </w:rPr>
          <w:t>Functional Area 6 - Systems/Facilities Management and Maintenance</w:t>
        </w:r>
      </w:hyperlink>
      <w:r w:rsidRPr="0063523C">
        <w:rPr>
          <w:rFonts w:ascii="Times New Roman" w:eastAsia="Times New Roman" w:hAnsi="Times New Roman" w:cs="Times New Roman"/>
          <w:b/>
          <w:bCs/>
          <w:color w:val="000000"/>
          <w:sz w:val="24"/>
          <w:szCs w:val="24"/>
        </w:rPr>
        <w:t>.</w:t>
      </w:r>
      <w:r w:rsidRPr="0063523C">
        <w:rPr>
          <w:rFonts w:ascii="Times New Roman" w:eastAsia="Times New Roman" w:hAnsi="Times New Roman" w:cs="Times New Roman"/>
          <w:color w:val="000000"/>
          <w:sz w:val="24"/>
          <w:szCs w:val="24"/>
        </w:rPr>
        <w:t xml:space="preserve"> Systems/Facilities Management and Maintenance services include: Data Center Technical Support/Operations, and Help Desk. At the State’s discretion, these services may be required to be provided externally to the requesting agency.</w:t>
      </w:r>
    </w:p>
    <w:p w:rsidR="00F70EA9" w:rsidRDefault="00F70EA9" w:rsidP="0063523C">
      <w:pPr>
        <w:shd w:val="clear" w:color="auto" w:fill="FFFFFF"/>
        <w:rPr>
          <w:rFonts w:ascii="Times New Roman" w:eastAsia="Times New Roman" w:hAnsi="Times New Roman" w:cs="Times New Roman"/>
          <w:color w:val="000000"/>
          <w:sz w:val="24"/>
          <w:szCs w:val="24"/>
        </w:rPr>
      </w:pPr>
    </w:p>
    <w:p w:rsidR="00F70EA9" w:rsidRDefault="0063523C" w:rsidP="0063523C">
      <w:pPr>
        <w:shd w:val="clear" w:color="auto" w:fill="FFFFFF"/>
        <w:rPr>
          <w:rFonts w:ascii="Times New Roman" w:eastAsia="Times New Roman" w:hAnsi="Times New Roman" w:cs="Times New Roman"/>
          <w:color w:val="000000"/>
          <w:sz w:val="24"/>
          <w:szCs w:val="24"/>
        </w:rPr>
      </w:pPr>
      <w:hyperlink r:id="rId13" w:history="1">
        <w:r w:rsidRPr="0063523C">
          <w:rPr>
            <w:rFonts w:ascii="Times New Roman" w:eastAsia="Times New Roman" w:hAnsi="Times New Roman" w:cs="Times New Roman"/>
            <w:b/>
            <w:bCs/>
            <w:color w:val="000099"/>
            <w:sz w:val="24"/>
            <w:szCs w:val="24"/>
          </w:rPr>
          <w:t>Functional Area 7 - Information System Security</w:t>
        </w:r>
      </w:hyperlink>
      <w:r w:rsidRPr="0063523C">
        <w:rPr>
          <w:rFonts w:ascii="Times New Roman" w:eastAsia="Times New Roman" w:hAnsi="Times New Roman" w:cs="Times New Roman"/>
          <w:b/>
          <w:bCs/>
          <w:color w:val="000000"/>
          <w:sz w:val="24"/>
          <w:szCs w:val="24"/>
        </w:rPr>
        <w:t>.</w:t>
      </w:r>
      <w:r w:rsidRPr="0063523C">
        <w:rPr>
          <w:rFonts w:ascii="Times New Roman" w:eastAsia="Times New Roman" w:hAnsi="Times New Roman" w:cs="Times New Roman"/>
          <w:color w:val="000000"/>
          <w:sz w:val="24"/>
          <w:szCs w:val="24"/>
        </w:rPr>
        <w:t xml:space="preserve"> The security of information and computing resources at all organizational levels; including software/application and data security support, as well as disaster recovery planning and risk assessment.</w:t>
      </w:r>
    </w:p>
    <w:p w:rsidR="00F70EA9" w:rsidRDefault="00F70EA9" w:rsidP="0063523C">
      <w:pPr>
        <w:shd w:val="clear" w:color="auto" w:fill="FFFFFF"/>
        <w:rPr>
          <w:rFonts w:ascii="Times New Roman" w:eastAsia="Times New Roman" w:hAnsi="Times New Roman" w:cs="Times New Roman"/>
          <w:color w:val="000000"/>
          <w:sz w:val="24"/>
          <w:szCs w:val="24"/>
        </w:rPr>
      </w:pPr>
    </w:p>
    <w:p w:rsidR="00F70EA9" w:rsidRDefault="0063523C" w:rsidP="0063523C">
      <w:pPr>
        <w:shd w:val="clear" w:color="auto" w:fill="FFFFFF"/>
        <w:rPr>
          <w:rFonts w:ascii="Times New Roman" w:eastAsia="Times New Roman" w:hAnsi="Times New Roman" w:cs="Times New Roman"/>
          <w:color w:val="000000"/>
          <w:sz w:val="24"/>
          <w:szCs w:val="24"/>
        </w:rPr>
      </w:pPr>
      <w:hyperlink r:id="rId14" w:history="1">
        <w:r w:rsidRPr="0063523C">
          <w:rPr>
            <w:rFonts w:ascii="Times New Roman" w:eastAsia="Times New Roman" w:hAnsi="Times New Roman" w:cs="Times New Roman"/>
            <w:b/>
            <w:bCs/>
            <w:color w:val="000099"/>
            <w:sz w:val="24"/>
            <w:szCs w:val="24"/>
          </w:rPr>
          <w:t>Functional Area 8 - Application Service Provider.</w:t>
        </w:r>
      </w:hyperlink>
      <w:r w:rsidRPr="0063523C">
        <w:rPr>
          <w:rFonts w:ascii="Times New Roman" w:eastAsia="Times New Roman" w:hAnsi="Times New Roman" w:cs="Times New Roman"/>
          <w:color w:val="000000"/>
          <w:sz w:val="24"/>
          <w:szCs w:val="24"/>
        </w:rPr>
        <w:t xml:space="preserve"> Combination of software, hardware and networking technologies to offer hosted, service-based applications.</w:t>
      </w:r>
    </w:p>
    <w:p w:rsidR="00F70EA9" w:rsidRDefault="00F70EA9" w:rsidP="0063523C">
      <w:pPr>
        <w:shd w:val="clear" w:color="auto" w:fill="FFFFFF"/>
        <w:rPr>
          <w:rFonts w:ascii="Times New Roman" w:eastAsia="Times New Roman" w:hAnsi="Times New Roman" w:cs="Times New Roman"/>
          <w:color w:val="000000"/>
          <w:sz w:val="24"/>
          <w:szCs w:val="24"/>
        </w:rPr>
      </w:pPr>
    </w:p>
    <w:p w:rsidR="00F70EA9" w:rsidRDefault="0063523C" w:rsidP="0063523C">
      <w:pPr>
        <w:shd w:val="clear" w:color="auto" w:fill="FFFFFF"/>
        <w:rPr>
          <w:rFonts w:ascii="Times New Roman" w:eastAsia="Times New Roman" w:hAnsi="Times New Roman" w:cs="Times New Roman"/>
          <w:color w:val="000000"/>
          <w:sz w:val="24"/>
          <w:szCs w:val="24"/>
        </w:rPr>
      </w:pPr>
      <w:hyperlink r:id="rId15" w:history="1">
        <w:r w:rsidRPr="0063523C">
          <w:rPr>
            <w:rFonts w:ascii="Times New Roman" w:eastAsia="Times New Roman" w:hAnsi="Times New Roman" w:cs="Times New Roman"/>
            <w:b/>
            <w:bCs/>
            <w:color w:val="000099"/>
            <w:sz w:val="24"/>
            <w:szCs w:val="24"/>
          </w:rPr>
          <w:t>Functional Area 9 - IT and Telecommunications Financial and Auditing Consulting Services</w:t>
        </w:r>
      </w:hyperlink>
      <w:r w:rsidRPr="0063523C">
        <w:rPr>
          <w:rFonts w:ascii="Times New Roman" w:eastAsia="Times New Roman" w:hAnsi="Times New Roman" w:cs="Times New Roman"/>
          <w:color w:val="000000"/>
          <w:sz w:val="24"/>
          <w:szCs w:val="24"/>
        </w:rPr>
        <w:t xml:space="preserve">. The IT and Telecommunications Financial and Auditing Consulting include the following types of services: cost and financial analyses, information systems auditing and quality assurance and telecommunications systems management. </w:t>
      </w:r>
    </w:p>
    <w:p w:rsidR="00F70EA9" w:rsidRDefault="00F70EA9" w:rsidP="0063523C">
      <w:pPr>
        <w:shd w:val="clear" w:color="auto" w:fill="FFFFFF"/>
        <w:rPr>
          <w:rFonts w:ascii="Times New Roman" w:eastAsia="Times New Roman" w:hAnsi="Times New Roman" w:cs="Times New Roman"/>
          <w:color w:val="000000"/>
          <w:sz w:val="24"/>
          <w:szCs w:val="24"/>
        </w:rPr>
      </w:pPr>
    </w:p>
    <w:p w:rsidR="00F70EA9" w:rsidRDefault="0063523C" w:rsidP="0063523C">
      <w:pPr>
        <w:shd w:val="clear" w:color="auto" w:fill="FFFFFF"/>
        <w:rPr>
          <w:rFonts w:ascii="Times New Roman" w:eastAsia="Times New Roman" w:hAnsi="Times New Roman" w:cs="Times New Roman"/>
          <w:color w:val="000000"/>
          <w:sz w:val="24"/>
          <w:szCs w:val="24"/>
        </w:rPr>
      </w:pPr>
      <w:hyperlink r:id="rId16" w:history="1">
        <w:r w:rsidRPr="0063523C">
          <w:rPr>
            <w:rFonts w:ascii="Times New Roman" w:eastAsia="Times New Roman" w:hAnsi="Times New Roman" w:cs="Times New Roman"/>
            <w:b/>
            <w:bCs/>
            <w:color w:val="000099"/>
            <w:sz w:val="24"/>
            <w:szCs w:val="24"/>
          </w:rPr>
          <w:t>Functional Area 10 - IT Management Consulting Services.</w:t>
        </w:r>
      </w:hyperlink>
      <w:r w:rsidRPr="0063523C">
        <w:rPr>
          <w:rFonts w:ascii="Times New Roman" w:eastAsia="Times New Roman" w:hAnsi="Times New Roman" w:cs="Times New Roman"/>
          <w:color w:val="000000"/>
          <w:sz w:val="24"/>
          <w:szCs w:val="24"/>
        </w:rPr>
        <w:t xml:space="preserve"> The IT Management Consulting Services include any of the following types of services: IT enterprise architecture, systems review for architectural consistency, strategic planning assistance, project management services, Master Contractor assessments and risk assessment analysis.</w:t>
      </w:r>
    </w:p>
    <w:p w:rsidR="00F70EA9" w:rsidRDefault="00F70EA9" w:rsidP="0063523C">
      <w:pPr>
        <w:shd w:val="clear" w:color="auto" w:fill="FFFFFF"/>
        <w:rPr>
          <w:rFonts w:ascii="Times New Roman" w:eastAsia="Times New Roman" w:hAnsi="Times New Roman" w:cs="Times New Roman"/>
          <w:color w:val="000000"/>
          <w:sz w:val="24"/>
          <w:szCs w:val="24"/>
        </w:rPr>
      </w:pPr>
    </w:p>
    <w:p w:rsidR="00F70EA9" w:rsidRDefault="0063523C" w:rsidP="0063523C">
      <w:pPr>
        <w:shd w:val="clear" w:color="auto" w:fill="FFFFFF"/>
        <w:rPr>
          <w:rFonts w:ascii="Times New Roman" w:eastAsia="Times New Roman" w:hAnsi="Times New Roman" w:cs="Times New Roman"/>
          <w:color w:val="000000"/>
          <w:sz w:val="24"/>
          <w:szCs w:val="24"/>
        </w:rPr>
      </w:pPr>
      <w:hyperlink r:id="rId17" w:history="1">
        <w:r w:rsidRPr="0063523C">
          <w:rPr>
            <w:rFonts w:ascii="Times New Roman" w:eastAsia="Times New Roman" w:hAnsi="Times New Roman" w:cs="Times New Roman"/>
            <w:b/>
            <w:bCs/>
            <w:color w:val="000099"/>
            <w:sz w:val="24"/>
            <w:szCs w:val="24"/>
          </w:rPr>
          <w:t>Functional Area 11 - Business Process Consulting Services.</w:t>
        </w:r>
      </w:hyperlink>
      <w:r w:rsidRPr="0063523C">
        <w:rPr>
          <w:rFonts w:ascii="Times New Roman" w:eastAsia="Times New Roman" w:hAnsi="Times New Roman" w:cs="Times New Roman"/>
          <w:color w:val="000000"/>
          <w:sz w:val="24"/>
          <w:szCs w:val="24"/>
        </w:rPr>
        <w:t xml:space="preserve"> Streamlining business processes and the development, implementation and support of process improvements to eliminate redundancy, increase productivity, and reduce cost. </w:t>
      </w:r>
    </w:p>
    <w:p w:rsidR="00F70EA9" w:rsidRDefault="00F70EA9" w:rsidP="0063523C">
      <w:pPr>
        <w:shd w:val="clear" w:color="auto" w:fill="FFFFFF"/>
        <w:rPr>
          <w:rFonts w:ascii="Times New Roman" w:eastAsia="Times New Roman" w:hAnsi="Times New Roman" w:cs="Times New Roman"/>
          <w:color w:val="000000"/>
          <w:sz w:val="24"/>
          <w:szCs w:val="24"/>
        </w:rPr>
      </w:pPr>
    </w:p>
    <w:p w:rsidR="00F70EA9" w:rsidRDefault="0063523C" w:rsidP="0063523C">
      <w:pPr>
        <w:shd w:val="clear" w:color="auto" w:fill="FFFFFF"/>
        <w:rPr>
          <w:rFonts w:ascii="Times New Roman" w:eastAsia="Times New Roman" w:hAnsi="Times New Roman" w:cs="Times New Roman"/>
          <w:color w:val="000000"/>
          <w:sz w:val="24"/>
          <w:szCs w:val="24"/>
        </w:rPr>
      </w:pPr>
      <w:hyperlink r:id="rId18" w:history="1">
        <w:r w:rsidRPr="0063523C">
          <w:rPr>
            <w:rFonts w:ascii="Times New Roman" w:eastAsia="Times New Roman" w:hAnsi="Times New Roman" w:cs="Times New Roman"/>
            <w:b/>
            <w:bCs/>
            <w:color w:val="000099"/>
            <w:sz w:val="24"/>
            <w:szCs w:val="24"/>
          </w:rPr>
          <w:t>Functional Area 12 - Tower Site Preparation.</w:t>
        </w:r>
      </w:hyperlink>
      <w:r w:rsidRPr="0063523C">
        <w:rPr>
          <w:rFonts w:ascii="Times New Roman" w:eastAsia="Times New Roman" w:hAnsi="Times New Roman" w:cs="Times New Roman"/>
          <w:color w:val="000000"/>
          <w:sz w:val="24"/>
          <w:szCs w:val="24"/>
        </w:rPr>
        <w:t xml:space="preserve"> Conduct Historic Properties Survey investigations that meet the rules implementing compliance with Section 106 (36 CFR § 800), delimit the undertaking's Area of Potential Effects ("APE"), identify historic properties, evaluate the effects of the undertaking to historic properties, and provide documentation to the State Historic Preservation Officer (SHPO) and the State. </w:t>
      </w:r>
    </w:p>
    <w:p w:rsidR="00F70EA9" w:rsidRDefault="00F70EA9" w:rsidP="0063523C">
      <w:pPr>
        <w:shd w:val="clear" w:color="auto" w:fill="FFFFFF"/>
        <w:rPr>
          <w:rFonts w:ascii="Times New Roman" w:eastAsia="Times New Roman" w:hAnsi="Times New Roman" w:cs="Times New Roman"/>
          <w:color w:val="000000"/>
          <w:sz w:val="24"/>
          <w:szCs w:val="24"/>
        </w:rPr>
      </w:pPr>
    </w:p>
    <w:p w:rsidR="00F70EA9" w:rsidRDefault="0063523C" w:rsidP="0063523C">
      <w:pPr>
        <w:shd w:val="clear" w:color="auto" w:fill="FFFFFF"/>
        <w:rPr>
          <w:rFonts w:ascii="Times New Roman" w:eastAsia="Times New Roman" w:hAnsi="Times New Roman" w:cs="Times New Roman"/>
          <w:color w:val="000000"/>
          <w:sz w:val="24"/>
          <w:szCs w:val="24"/>
        </w:rPr>
      </w:pPr>
      <w:hyperlink r:id="rId19" w:history="1">
        <w:r w:rsidRPr="0063523C">
          <w:rPr>
            <w:rFonts w:ascii="Times New Roman" w:eastAsia="Times New Roman" w:hAnsi="Times New Roman" w:cs="Times New Roman"/>
            <w:b/>
            <w:bCs/>
            <w:color w:val="000099"/>
            <w:sz w:val="24"/>
            <w:szCs w:val="24"/>
          </w:rPr>
          <w:t>Functional Area 13 - Tower Installation.</w:t>
        </w:r>
      </w:hyperlink>
      <w:r w:rsidRPr="0063523C">
        <w:rPr>
          <w:rFonts w:ascii="Times New Roman" w:eastAsia="Times New Roman" w:hAnsi="Times New Roman" w:cs="Times New Roman"/>
          <w:color w:val="000000"/>
          <w:sz w:val="24"/>
          <w:szCs w:val="24"/>
        </w:rPr>
        <w:t xml:space="preserve"> Provide and install self-supporting towers; additionally, provide and install prefabricated concrete equipment shelters with associated liquid propane fueled generators with fuel tanks and installation services. </w:t>
      </w:r>
    </w:p>
    <w:p w:rsidR="00F70EA9" w:rsidRDefault="00F70EA9" w:rsidP="0063523C">
      <w:pPr>
        <w:shd w:val="clear" w:color="auto" w:fill="FFFFFF"/>
        <w:rPr>
          <w:rFonts w:ascii="Times New Roman" w:eastAsia="Times New Roman" w:hAnsi="Times New Roman" w:cs="Times New Roman"/>
          <w:color w:val="000000"/>
          <w:sz w:val="24"/>
          <w:szCs w:val="24"/>
        </w:rPr>
      </w:pPr>
    </w:p>
    <w:p w:rsidR="00F70EA9" w:rsidRDefault="0063523C" w:rsidP="0063523C">
      <w:pPr>
        <w:shd w:val="clear" w:color="auto" w:fill="FFFFFF"/>
        <w:rPr>
          <w:rFonts w:ascii="Times New Roman" w:eastAsia="Times New Roman" w:hAnsi="Times New Roman" w:cs="Times New Roman"/>
          <w:color w:val="000000"/>
          <w:sz w:val="24"/>
          <w:szCs w:val="24"/>
        </w:rPr>
      </w:pPr>
      <w:hyperlink r:id="rId20" w:history="1">
        <w:r w:rsidRPr="0063523C">
          <w:rPr>
            <w:rFonts w:ascii="Times New Roman" w:eastAsia="Times New Roman" w:hAnsi="Times New Roman" w:cs="Times New Roman"/>
            <w:b/>
            <w:bCs/>
            <w:color w:val="000099"/>
            <w:sz w:val="24"/>
            <w:szCs w:val="24"/>
          </w:rPr>
          <w:t>Functional Area 14 - Tower Equipment Installation and Services.</w:t>
        </w:r>
      </w:hyperlink>
      <w:r w:rsidRPr="0063523C">
        <w:rPr>
          <w:rFonts w:ascii="Times New Roman" w:eastAsia="Times New Roman" w:hAnsi="Times New Roman" w:cs="Times New Roman"/>
          <w:color w:val="000000"/>
          <w:sz w:val="24"/>
          <w:szCs w:val="24"/>
        </w:rPr>
        <w:t xml:space="preserve"> Support services for wireless communication sites and related equipment.</w:t>
      </w:r>
    </w:p>
    <w:p w:rsidR="00F70EA9" w:rsidRDefault="00F70EA9" w:rsidP="0063523C">
      <w:pPr>
        <w:shd w:val="clear" w:color="auto" w:fill="FFFFFF"/>
        <w:rPr>
          <w:rFonts w:ascii="Times New Roman" w:eastAsia="Times New Roman" w:hAnsi="Times New Roman" w:cs="Times New Roman"/>
          <w:color w:val="000000"/>
          <w:sz w:val="24"/>
          <w:szCs w:val="24"/>
        </w:rPr>
      </w:pPr>
    </w:p>
    <w:p w:rsidR="00F70EA9" w:rsidRDefault="0063523C" w:rsidP="0063523C">
      <w:pPr>
        <w:shd w:val="clear" w:color="auto" w:fill="FFFFFF"/>
        <w:rPr>
          <w:rFonts w:ascii="Times New Roman" w:eastAsia="Times New Roman" w:hAnsi="Times New Roman" w:cs="Times New Roman"/>
          <w:color w:val="000000"/>
          <w:sz w:val="24"/>
          <w:szCs w:val="24"/>
        </w:rPr>
      </w:pPr>
      <w:hyperlink r:id="rId21" w:history="1">
        <w:r w:rsidRPr="0063523C">
          <w:rPr>
            <w:rFonts w:ascii="Times New Roman" w:eastAsia="Times New Roman" w:hAnsi="Times New Roman" w:cs="Times New Roman"/>
            <w:b/>
            <w:bCs/>
            <w:color w:val="000099"/>
            <w:sz w:val="24"/>
            <w:szCs w:val="24"/>
          </w:rPr>
          <w:t>Functional Area 15 - Electronic Benefits Transfer.</w:t>
        </w:r>
      </w:hyperlink>
      <w:r w:rsidRPr="0063523C">
        <w:rPr>
          <w:rFonts w:ascii="Times New Roman" w:eastAsia="Times New Roman" w:hAnsi="Times New Roman" w:cs="Times New Roman"/>
          <w:color w:val="000000"/>
          <w:sz w:val="24"/>
          <w:szCs w:val="24"/>
        </w:rPr>
        <w:t xml:space="preserve"> Services to provide intra-agency technical infrastructure components to create a new or update an existing EBT system. </w:t>
      </w:r>
    </w:p>
    <w:p w:rsidR="00F70EA9" w:rsidRDefault="00F70EA9" w:rsidP="0063523C">
      <w:pPr>
        <w:shd w:val="clear" w:color="auto" w:fill="FFFFFF"/>
        <w:rPr>
          <w:rFonts w:ascii="Times New Roman" w:eastAsia="Times New Roman" w:hAnsi="Times New Roman" w:cs="Times New Roman"/>
          <w:color w:val="000000"/>
          <w:sz w:val="24"/>
          <w:szCs w:val="24"/>
        </w:rPr>
      </w:pPr>
    </w:p>
    <w:p w:rsidR="00F70EA9" w:rsidRDefault="0063523C" w:rsidP="0063523C">
      <w:pPr>
        <w:shd w:val="clear" w:color="auto" w:fill="FFFFFF"/>
        <w:rPr>
          <w:rFonts w:ascii="Times New Roman" w:eastAsia="Times New Roman" w:hAnsi="Times New Roman" w:cs="Times New Roman"/>
          <w:color w:val="000000"/>
          <w:sz w:val="24"/>
          <w:szCs w:val="24"/>
        </w:rPr>
      </w:pPr>
      <w:hyperlink r:id="rId22" w:history="1">
        <w:r w:rsidRPr="0063523C">
          <w:rPr>
            <w:rFonts w:ascii="Times New Roman" w:eastAsia="Times New Roman" w:hAnsi="Times New Roman" w:cs="Times New Roman"/>
            <w:b/>
            <w:bCs/>
            <w:color w:val="000099"/>
            <w:sz w:val="24"/>
            <w:szCs w:val="24"/>
          </w:rPr>
          <w:t>Functional Area 16 - Media and Training Center Support.</w:t>
        </w:r>
      </w:hyperlink>
      <w:r w:rsidRPr="0063523C">
        <w:rPr>
          <w:rFonts w:ascii="Times New Roman" w:eastAsia="Times New Roman" w:hAnsi="Times New Roman" w:cs="Times New Roman"/>
          <w:color w:val="000000"/>
          <w:sz w:val="24"/>
          <w:szCs w:val="24"/>
        </w:rPr>
        <w:t xml:space="preserve"> Services to support multi-media and education centers including, but not limited to: planning, analysis, troubleshooting, integration, acquisition, installation, operations, maintenance, training, documentation, and administration. Professional training expertise, including instructional systems design capabilities to improve job performance of employees utilizing the learning/media center. </w:t>
      </w:r>
    </w:p>
    <w:p w:rsidR="00F70EA9" w:rsidRDefault="00F70EA9" w:rsidP="0063523C">
      <w:pPr>
        <w:shd w:val="clear" w:color="auto" w:fill="FFFFFF"/>
        <w:rPr>
          <w:rFonts w:ascii="Times New Roman" w:eastAsia="Times New Roman" w:hAnsi="Times New Roman" w:cs="Times New Roman"/>
          <w:color w:val="000000"/>
          <w:sz w:val="24"/>
          <w:szCs w:val="24"/>
        </w:rPr>
      </w:pPr>
    </w:p>
    <w:p w:rsidR="0063523C" w:rsidRPr="0063523C" w:rsidRDefault="0063523C" w:rsidP="0063523C">
      <w:pPr>
        <w:shd w:val="clear" w:color="auto" w:fill="FFFFFF"/>
        <w:rPr>
          <w:rFonts w:ascii="Times New Roman" w:eastAsia="Times New Roman" w:hAnsi="Times New Roman" w:cs="Times New Roman"/>
          <w:color w:val="000000"/>
          <w:sz w:val="24"/>
          <w:szCs w:val="24"/>
        </w:rPr>
      </w:pPr>
      <w:hyperlink r:id="rId23" w:history="1">
        <w:r w:rsidRPr="0063523C">
          <w:rPr>
            <w:rFonts w:ascii="Times New Roman" w:eastAsia="Times New Roman" w:hAnsi="Times New Roman" w:cs="Times New Roman"/>
            <w:b/>
            <w:bCs/>
            <w:color w:val="000099"/>
            <w:sz w:val="24"/>
            <w:szCs w:val="24"/>
          </w:rPr>
          <w:t>Functional Area 17 - Documentation/Technical Writing.</w:t>
        </w:r>
      </w:hyperlink>
      <w:r w:rsidRPr="0063523C">
        <w:rPr>
          <w:rFonts w:ascii="Times New Roman" w:eastAsia="Times New Roman" w:hAnsi="Times New Roman" w:cs="Times New Roman"/>
          <w:color w:val="000000"/>
          <w:sz w:val="24"/>
          <w:szCs w:val="24"/>
        </w:rPr>
        <w:t xml:space="preserve"> Develop and/or maintain the following types of documentation: system documentation; user manuals; computer operations and program maintenance manuals; plans for training, testing, quality assurance, and contingency operations; and backup, recovery and restart procedures; technical writing for proposals, presentations, standard operating procedures (SOP), and policies and procedures.</w:t>
      </w:r>
    </w:p>
    <w:p w:rsidR="0063523C" w:rsidRPr="00D27D39" w:rsidRDefault="0063523C" w:rsidP="00D27D39">
      <w:pPr>
        <w:shd w:val="clear" w:color="auto" w:fill="FFFFFF"/>
        <w:rPr>
          <w:rFonts w:ascii="Times New Roman" w:eastAsia="Times New Roman" w:hAnsi="Times New Roman" w:cs="Times New Roman"/>
          <w:color w:val="000000"/>
          <w:sz w:val="24"/>
          <w:szCs w:val="24"/>
        </w:rPr>
      </w:pPr>
    </w:p>
    <w:p w:rsidR="00BB14CE" w:rsidRPr="00BB14CE" w:rsidRDefault="00BB14CE" w:rsidP="00BB14CE">
      <w:p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sidRPr="00BB14CE">
        <w:rPr>
          <w:rFonts w:ascii="Times New Roman" w:hAnsi="Times New Roman" w:cs="Times New Roman"/>
          <w:color w:val="000000"/>
          <w:sz w:val="24"/>
          <w:szCs w:val="24"/>
        </w:rPr>
        <w:t>As with all RFPs governed under COMAR 21.05.03.02, a TORFP must include the following components:</w:t>
      </w:r>
    </w:p>
    <w:p w:rsidR="00BB14CE" w:rsidRPr="00BB14CE" w:rsidRDefault="00BB14CE" w:rsidP="00BB14CE">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BB14CE" w:rsidRPr="00BB14CE" w:rsidRDefault="00BB14CE" w:rsidP="00BB14CE">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cs="Times New Roman"/>
          <w:color w:val="000000"/>
          <w:sz w:val="24"/>
          <w:szCs w:val="24"/>
        </w:rPr>
      </w:pPr>
      <w:r w:rsidRPr="00BB14CE">
        <w:rPr>
          <w:rFonts w:ascii="Times New Roman" w:hAnsi="Times New Roman" w:cs="Times New Roman"/>
          <w:color w:val="000000"/>
          <w:sz w:val="24"/>
          <w:szCs w:val="24"/>
        </w:rPr>
        <w:tab/>
        <w:t>a.</w:t>
      </w:r>
      <w:r w:rsidRPr="00BB14CE">
        <w:rPr>
          <w:rFonts w:ascii="Times New Roman" w:hAnsi="Times New Roman" w:cs="Times New Roman"/>
          <w:color w:val="000000"/>
          <w:sz w:val="24"/>
          <w:szCs w:val="24"/>
        </w:rPr>
        <w:tab/>
        <w:t>Information concerning proposal submission requirements including date, time, and place for receipt of proposals;</w:t>
      </w:r>
    </w:p>
    <w:p w:rsidR="00BB14CE" w:rsidRPr="00BB14CE" w:rsidRDefault="00BB14CE" w:rsidP="00BB14CE">
      <w:pPr>
        <w:numPr>
          <w:ilvl w:val="0"/>
          <w:numId w:val="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sidRPr="00BB14CE">
        <w:rPr>
          <w:rFonts w:ascii="Times New Roman" w:hAnsi="Times New Roman" w:cs="Times New Roman"/>
          <w:color w:val="000000"/>
          <w:sz w:val="24"/>
          <w:szCs w:val="24"/>
        </w:rPr>
        <w:t>The evaluation factors and an indication of the relative value of each factor including price;</w:t>
      </w:r>
    </w:p>
    <w:p w:rsidR="00BB14CE" w:rsidRPr="00BB14CE" w:rsidRDefault="00BB14CE" w:rsidP="00BB14CE">
      <w:pPr>
        <w:numPr>
          <w:ilvl w:val="0"/>
          <w:numId w:val="1"/>
        </w:num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sidRPr="00BB14CE">
        <w:rPr>
          <w:rFonts w:ascii="Times New Roman" w:hAnsi="Times New Roman" w:cs="Times New Roman"/>
          <w:color w:val="000000"/>
          <w:sz w:val="24"/>
          <w:szCs w:val="24"/>
        </w:rPr>
        <w:t>A work statement or scope of services statement, performance schedule, and any specific instructions or requirements;</w:t>
      </w:r>
    </w:p>
    <w:p w:rsidR="00BB14CE" w:rsidRPr="00BB14CE" w:rsidRDefault="00BB14CE" w:rsidP="00BB14CE">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cs="Times New Roman"/>
          <w:color w:val="000000"/>
          <w:sz w:val="24"/>
          <w:szCs w:val="24"/>
        </w:rPr>
      </w:pPr>
      <w:r w:rsidRPr="00BB14CE">
        <w:rPr>
          <w:rFonts w:ascii="Times New Roman" w:hAnsi="Times New Roman" w:cs="Times New Roman"/>
          <w:color w:val="000000"/>
          <w:sz w:val="24"/>
          <w:szCs w:val="24"/>
        </w:rPr>
        <w:tab/>
        <w:t>d.</w:t>
      </w:r>
      <w:r w:rsidRPr="00BB14CE">
        <w:rPr>
          <w:rFonts w:ascii="Times New Roman" w:hAnsi="Times New Roman" w:cs="Times New Roman"/>
          <w:color w:val="000000"/>
          <w:sz w:val="24"/>
          <w:szCs w:val="24"/>
        </w:rPr>
        <w:tab/>
        <w:t>A statement regarding discussions;</w:t>
      </w:r>
    </w:p>
    <w:p w:rsidR="00BB14CE" w:rsidRDefault="00BB14CE" w:rsidP="00BB14CE">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cs="Times New Roman"/>
          <w:color w:val="000000"/>
          <w:sz w:val="24"/>
          <w:szCs w:val="24"/>
        </w:rPr>
      </w:pPr>
      <w:r w:rsidRPr="00BB14CE">
        <w:rPr>
          <w:rFonts w:ascii="Times New Roman" w:hAnsi="Times New Roman" w:cs="Times New Roman"/>
          <w:color w:val="000000"/>
          <w:sz w:val="24"/>
          <w:szCs w:val="24"/>
        </w:rPr>
        <w:tab/>
      </w:r>
      <w:r>
        <w:rPr>
          <w:rFonts w:ascii="Times New Roman" w:hAnsi="Times New Roman" w:cs="Times New Roman"/>
          <w:color w:val="000000"/>
          <w:sz w:val="24"/>
          <w:szCs w:val="24"/>
        </w:rPr>
        <w:t>e</w:t>
      </w:r>
      <w:r w:rsidRPr="00BB14CE">
        <w:rPr>
          <w:rFonts w:ascii="Times New Roman" w:hAnsi="Times New Roman" w:cs="Times New Roman"/>
          <w:color w:val="000000"/>
          <w:sz w:val="24"/>
          <w:szCs w:val="24"/>
        </w:rPr>
        <w:t>.</w:t>
      </w:r>
      <w:r w:rsidRPr="00BB14CE">
        <w:rPr>
          <w:rFonts w:ascii="Times New Roman" w:hAnsi="Times New Roman" w:cs="Times New Roman"/>
          <w:color w:val="000000"/>
          <w:sz w:val="24"/>
          <w:szCs w:val="24"/>
        </w:rPr>
        <w:tab/>
        <w:t>A requirement that receipt of any amendments to the TORFP is acknowledged by offerors.</w:t>
      </w:r>
    </w:p>
    <w:p w:rsidR="00BB14CE" w:rsidRPr="00BB14CE" w:rsidRDefault="00BB14CE" w:rsidP="00BB14CE">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cs="Times New Roman"/>
          <w:color w:val="000000"/>
          <w:sz w:val="24"/>
          <w:szCs w:val="24"/>
        </w:rPr>
      </w:pPr>
      <w:r>
        <w:rPr>
          <w:rFonts w:ascii="Times New Roman" w:hAnsi="Times New Roman" w:cs="Times New Roman"/>
          <w:color w:val="000000"/>
          <w:sz w:val="24"/>
          <w:szCs w:val="24"/>
        </w:rPr>
        <w:tab/>
        <w:t>f.</w:t>
      </w:r>
      <w:r>
        <w:rPr>
          <w:rFonts w:ascii="Times New Roman" w:hAnsi="Times New Roman" w:cs="Times New Roman"/>
          <w:color w:val="000000"/>
          <w:sz w:val="24"/>
          <w:szCs w:val="24"/>
        </w:rPr>
        <w:tab/>
        <w:t>All required forms completed [i.e. Minority Business Enterprise (MBE) and Economic Benefit].</w:t>
      </w:r>
    </w:p>
    <w:p w:rsidR="0063523C" w:rsidRDefault="0063523C">
      <w:pPr>
        <w:rPr>
          <w:rFonts w:ascii="Times New Roman" w:hAnsi="Times New Roman" w:cs="Times New Roman"/>
        </w:rPr>
      </w:pPr>
    </w:p>
    <w:p w:rsidR="00BB14CE" w:rsidRPr="00645862" w:rsidRDefault="00BB14CE">
      <w:pPr>
        <w:rPr>
          <w:rFonts w:ascii="Times New Roman" w:hAnsi="Times New Roman" w:cs="Times New Roman"/>
          <w:sz w:val="24"/>
          <w:szCs w:val="24"/>
        </w:rPr>
      </w:pPr>
      <w:r w:rsidRPr="00645862">
        <w:rPr>
          <w:rFonts w:ascii="Times New Roman" w:hAnsi="Times New Roman" w:cs="Times New Roman"/>
          <w:sz w:val="24"/>
          <w:szCs w:val="24"/>
        </w:rPr>
        <w:t>The TORFP is sent to all CAT+ contractors within the requested functional area.  Contractors receiving the TORFP must respond with a minimum of 21 days unless additional time is allowed.</w:t>
      </w:r>
    </w:p>
    <w:p w:rsidR="00BB14CE" w:rsidRPr="00645862" w:rsidRDefault="00BB14CE">
      <w:pPr>
        <w:rPr>
          <w:rFonts w:ascii="Times New Roman" w:hAnsi="Times New Roman" w:cs="Times New Roman"/>
          <w:sz w:val="24"/>
          <w:szCs w:val="24"/>
        </w:rPr>
      </w:pPr>
    </w:p>
    <w:p w:rsidR="00645862" w:rsidRPr="00645862" w:rsidRDefault="00645862" w:rsidP="00645862">
      <w:pPr>
        <w:rPr>
          <w:rFonts w:ascii="Times New Roman" w:hAnsi="Times New Roman" w:cs="Times New Roman"/>
          <w:b/>
          <w:sz w:val="24"/>
          <w:szCs w:val="24"/>
          <w:u w:val="single"/>
        </w:rPr>
      </w:pPr>
      <w:r w:rsidRPr="00645862">
        <w:rPr>
          <w:rFonts w:ascii="Times New Roman" w:hAnsi="Times New Roman" w:cs="Times New Roman"/>
          <w:b/>
          <w:sz w:val="24"/>
          <w:szCs w:val="24"/>
          <w:u w:val="single"/>
        </w:rPr>
        <w:t>Pre-Proposal Conference</w:t>
      </w:r>
    </w:p>
    <w:p w:rsidR="00645862" w:rsidRPr="00645862" w:rsidRDefault="00645862" w:rsidP="00645862">
      <w:pPr>
        <w:rPr>
          <w:rFonts w:ascii="Times New Roman" w:hAnsi="Times New Roman" w:cs="Times New Roman"/>
          <w:sz w:val="24"/>
          <w:szCs w:val="24"/>
        </w:rPr>
      </w:pPr>
    </w:p>
    <w:p w:rsidR="00BB14CE" w:rsidRDefault="00645862" w:rsidP="00645862">
      <w:pPr>
        <w:rPr>
          <w:rFonts w:ascii="Times New Roman" w:hAnsi="Times New Roman" w:cs="Times New Roman"/>
          <w:sz w:val="24"/>
          <w:szCs w:val="24"/>
        </w:rPr>
      </w:pPr>
      <w:r w:rsidRPr="00645862">
        <w:rPr>
          <w:rFonts w:ascii="Times New Roman" w:hAnsi="Times New Roman" w:cs="Times New Roman"/>
          <w:sz w:val="24"/>
          <w:szCs w:val="24"/>
        </w:rPr>
        <w:t>A pre-proposal conference is routinely held at least two weeks prior to the proposal due date to review the TORFP with CATS</w:t>
      </w:r>
      <w:r w:rsidRPr="00645862">
        <w:rPr>
          <w:rFonts w:ascii="Times New Roman" w:hAnsi="Times New Roman" w:cs="Times New Roman"/>
          <w:sz w:val="24"/>
          <w:szCs w:val="24"/>
        </w:rPr>
        <w:t>+</w:t>
      </w:r>
      <w:r w:rsidRPr="00645862">
        <w:rPr>
          <w:rFonts w:ascii="Times New Roman" w:hAnsi="Times New Roman" w:cs="Times New Roman"/>
          <w:sz w:val="24"/>
          <w:szCs w:val="24"/>
        </w:rPr>
        <w:t xml:space="preserve"> offerors and to provide an opportunity to ask questions or possibly suggest changes in the TORFP.  Attendance is encouraged but is not mandatory.  A written record must be prepared and distributed to everyone known to have received a copy of the TORFP.</w:t>
      </w:r>
    </w:p>
    <w:p w:rsidR="00645862" w:rsidRPr="00645862" w:rsidRDefault="00645862" w:rsidP="00645862">
      <w:pPr>
        <w:rPr>
          <w:rFonts w:ascii="Times New Roman" w:hAnsi="Times New Roman" w:cs="Times New Roman"/>
          <w:sz w:val="24"/>
          <w:szCs w:val="24"/>
        </w:rPr>
      </w:pPr>
    </w:p>
    <w:p w:rsidR="00645862" w:rsidRPr="00645862" w:rsidRDefault="00645862" w:rsidP="0064586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color w:val="000000"/>
          <w:sz w:val="24"/>
          <w:szCs w:val="24"/>
          <w:u w:val="single"/>
        </w:rPr>
      </w:pPr>
      <w:r w:rsidRPr="00645862">
        <w:rPr>
          <w:rFonts w:ascii="Times New Roman" w:hAnsi="Times New Roman" w:cs="Times New Roman"/>
          <w:b/>
          <w:color w:val="000000"/>
          <w:sz w:val="24"/>
          <w:szCs w:val="24"/>
          <w:u w:val="single"/>
        </w:rPr>
        <w:t>Evaluation</w:t>
      </w:r>
    </w:p>
    <w:p w:rsidR="00645862" w:rsidRPr="00645862" w:rsidRDefault="00645862" w:rsidP="0064586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645862" w:rsidRPr="00645862" w:rsidRDefault="00645862" w:rsidP="00645862">
      <w:p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Pr>
          <w:rFonts w:ascii="Times New Roman" w:hAnsi="Times New Roman" w:cs="Times New Roman"/>
          <w:color w:val="000000"/>
          <w:sz w:val="24"/>
          <w:szCs w:val="24"/>
        </w:rPr>
        <w:t xml:space="preserve">Proposals  are not opened publicly, but rather in the presence of at least two (2) State employees.  At that time, a register of proposals shall be created listing the offerors by name, city and state.  After the register of proposals is created, the technical proposals will be distributed to an evaluation team, whose identity will not be disclosed.  Technical proposals are then evaluated according to the evaluation criteria set forth in the TORFP.  </w:t>
      </w:r>
      <w:r w:rsidRPr="00645862">
        <w:rPr>
          <w:rFonts w:ascii="Times New Roman" w:hAnsi="Times New Roman" w:cs="Times New Roman"/>
          <w:sz w:val="24"/>
          <w:szCs w:val="24"/>
        </w:rPr>
        <w:t>Offerors’ whose proposals are determined to be not reasonably susceptible for award shall be so notified by DoIT.</w:t>
      </w:r>
    </w:p>
    <w:p w:rsidR="00645862" w:rsidRDefault="00645862" w:rsidP="00645862">
      <w:pPr>
        <w:rPr>
          <w:rFonts w:ascii="Times New Roman" w:hAnsi="Times New Roman" w:cs="Times New Roman"/>
          <w:sz w:val="24"/>
          <w:szCs w:val="24"/>
        </w:rPr>
      </w:pPr>
    </w:p>
    <w:p w:rsidR="000136F1" w:rsidRPr="000136F1" w:rsidRDefault="000136F1" w:rsidP="000136F1">
      <w:pPr>
        <w:pStyle w:val="Level1"/>
        <w:widowControl/>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Cs w:val="24"/>
          <w:u w:val="single"/>
        </w:rPr>
      </w:pPr>
      <w:r w:rsidRPr="000136F1">
        <w:rPr>
          <w:b/>
          <w:color w:val="000000"/>
          <w:szCs w:val="24"/>
          <w:u w:val="single"/>
        </w:rPr>
        <w:t>Discussions</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sidRPr="000136F1">
        <w:rPr>
          <w:rFonts w:ascii="Times New Roman" w:hAnsi="Times New Roman" w:cs="Times New Roman"/>
          <w:color w:val="000000"/>
          <w:sz w:val="24"/>
          <w:szCs w:val="24"/>
        </w:rPr>
        <w:t>Discussions are held with all “qualified offerors” to:</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cs="Times New Roman"/>
          <w:color w:val="000000"/>
          <w:sz w:val="24"/>
          <w:szCs w:val="24"/>
        </w:rPr>
      </w:pPr>
      <w:r w:rsidRPr="000136F1">
        <w:rPr>
          <w:rFonts w:ascii="Times New Roman" w:hAnsi="Times New Roman" w:cs="Times New Roman"/>
          <w:color w:val="000000"/>
          <w:sz w:val="24"/>
          <w:szCs w:val="24"/>
        </w:rPr>
        <w:tab/>
        <w:t>a.</w:t>
      </w:r>
      <w:r w:rsidRPr="000136F1">
        <w:rPr>
          <w:rFonts w:ascii="Times New Roman" w:hAnsi="Times New Roman" w:cs="Times New Roman"/>
          <w:color w:val="000000"/>
          <w:sz w:val="24"/>
          <w:szCs w:val="24"/>
        </w:rPr>
        <w:tab/>
        <w:t>Assure that offerors fully understand the requirements of the TORFP and the Team fully understands the qualified offerors proposals and their ability to perform as needed.</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cs="Times New Roman"/>
          <w:color w:val="000000"/>
          <w:sz w:val="24"/>
          <w:szCs w:val="24"/>
        </w:rPr>
      </w:pPr>
      <w:r w:rsidRPr="000136F1">
        <w:rPr>
          <w:rFonts w:ascii="Times New Roman" w:hAnsi="Times New Roman" w:cs="Times New Roman"/>
          <w:color w:val="000000"/>
          <w:sz w:val="24"/>
          <w:szCs w:val="24"/>
        </w:rPr>
        <w:tab/>
        <w:t>b.</w:t>
      </w:r>
      <w:r w:rsidRPr="000136F1">
        <w:rPr>
          <w:rFonts w:ascii="Times New Roman" w:hAnsi="Times New Roman" w:cs="Times New Roman"/>
          <w:color w:val="000000"/>
          <w:sz w:val="24"/>
          <w:szCs w:val="24"/>
        </w:rPr>
        <w:tab/>
        <w:t>Give offerors an opportunity to remedy deficiencies in their proposal or to strengthen proposals that are already adequate but could be made better.</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cs="Times New Roman"/>
          <w:color w:val="000000"/>
          <w:sz w:val="24"/>
          <w:szCs w:val="24"/>
        </w:rPr>
      </w:pPr>
      <w:r w:rsidRPr="000136F1">
        <w:rPr>
          <w:rFonts w:ascii="Times New Roman" w:hAnsi="Times New Roman" w:cs="Times New Roman"/>
          <w:color w:val="000000"/>
          <w:sz w:val="24"/>
          <w:szCs w:val="24"/>
        </w:rPr>
        <w:tab/>
        <w:t>c.</w:t>
      </w:r>
      <w:r w:rsidRPr="000136F1">
        <w:rPr>
          <w:rFonts w:ascii="Times New Roman" w:hAnsi="Times New Roman" w:cs="Times New Roman"/>
          <w:color w:val="000000"/>
          <w:sz w:val="24"/>
          <w:szCs w:val="24"/>
        </w:rPr>
        <w:tab/>
        <w:t>Obtain the best price for the State or otherwise arrive at a contract that is most advantageous to the State in terms of the technical and financial aspects of the TORFP.</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0136F1" w:rsidRPr="000136F1" w:rsidRDefault="000136F1" w:rsidP="000136F1">
      <w:p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sidRPr="000136F1">
        <w:rPr>
          <w:rFonts w:ascii="Times New Roman" w:hAnsi="Times New Roman" w:cs="Times New Roman"/>
          <w:color w:val="000000"/>
          <w:sz w:val="24"/>
          <w:szCs w:val="24"/>
        </w:rPr>
        <w:t>The State’s objective in holding discussions is to obtain the absolute best service at the lowest possible price.</w:t>
      </w:r>
    </w:p>
    <w:p w:rsidR="000136F1" w:rsidRDefault="000136F1" w:rsidP="00645862">
      <w:pPr>
        <w:rPr>
          <w:rFonts w:ascii="Times New Roman" w:hAnsi="Times New Roman" w:cs="Times New Roman"/>
          <w:sz w:val="24"/>
          <w:szCs w:val="24"/>
        </w:rPr>
      </w:pPr>
    </w:p>
    <w:p w:rsidR="000136F1" w:rsidRPr="00813C45"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cs="Times New Roman"/>
          <w:color w:val="000000"/>
          <w:sz w:val="24"/>
          <w:szCs w:val="24"/>
          <w:u w:val="single"/>
        </w:rPr>
      </w:pPr>
      <w:r w:rsidRPr="00813C45">
        <w:rPr>
          <w:rFonts w:ascii="Times New Roman" w:hAnsi="Times New Roman" w:cs="Times New Roman"/>
          <w:b/>
          <w:color w:val="000000"/>
          <w:sz w:val="24"/>
          <w:szCs w:val="24"/>
          <w:u w:val="single"/>
        </w:rPr>
        <w:t>Best and Final Offers</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0136F1" w:rsidRPr="000136F1" w:rsidRDefault="000136F1" w:rsidP="00813C45">
      <w:p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sidRPr="000136F1">
        <w:rPr>
          <w:rFonts w:ascii="Times New Roman" w:hAnsi="Times New Roman" w:cs="Times New Roman"/>
          <w:color w:val="000000"/>
          <w:sz w:val="24"/>
          <w:szCs w:val="24"/>
        </w:rPr>
        <w:t>When deemed appropriate by the Team, qualified offerors may then be permitted to revise their initial proposals – either technical, or financial, or both  -- and submit what is called a Best and Final offer (BAFO).  Best and Final offers are sent under the signature of the Procurement Officer and must contain instructions regarding the type of proposal that may be amended, the due date and time for the BAFO, and the fact that offerors may elect not to amend their original proposal.</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0136F1" w:rsidRPr="00813C45" w:rsidRDefault="000136F1" w:rsidP="000136F1">
      <w:pPr>
        <w:pStyle w:val="Level1"/>
        <w:widowControl/>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Cs w:val="24"/>
          <w:u w:val="single"/>
        </w:rPr>
      </w:pPr>
      <w:r w:rsidRPr="00813C45">
        <w:rPr>
          <w:b/>
          <w:color w:val="000000"/>
          <w:szCs w:val="24"/>
          <w:u w:val="single"/>
        </w:rPr>
        <w:t>Award</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0136F1" w:rsidRPr="000136F1" w:rsidRDefault="000136F1" w:rsidP="00813C45">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sidRPr="000136F1">
        <w:rPr>
          <w:rFonts w:ascii="Times New Roman" w:hAnsi="Times New Roman" w:cs="Times New Roman"/>
          <w:color w:val="000000"/>
          <w:sz w:val="24"/>
          <w:szCs w:val="24"/>
        </w:rPr>
        <w:t>Once a recommendation for award</w:t>
      </w:r>
      <w:r w:rsidR="00813C45">
        <w:rPr>
          <w:rFonts w:ascii="Times New Roman" w:hAnsi="Times New Roman" w:cs="Times New Roman"/>
          <w:color w:val="000000"/>
          <w:sz w:val="24"/>
          <w:szCs w:val="24"/>
        </w:rPr>
        <w:t xml:space="preserve"> is made </w:t>
      </w:r>
      <w:r w:rsidRPr="000136F1">
        <w:rPr>
          <w:rFonts w:ascii="Times New Roman" w:hAnsi="Times New Roman" w:cs="Times New Roman"/>
          <w:color w:val="000000"/>
          <w:sz w:val="24"/>
          <w:szCs w:val="24"/>
        </w:rPr>
        <w:t xml:space="preserve">, a Task Order Agreement (TOA) is completed and signed by the unit and the vendor.  The TOA, Contract Management Plan, Project Management Plan, MBE forms and the </w:t>
      </w:r>
      <w:r w:rsidR="00813C45">
        <w:rPr>
          <w:rFonts w:ascii="Times New Roman" w:hAnsi="Times New Roman" w:cs="Times New Roman"/>
          <w:color w:val="000000"/>
          <w:sz w:val="24"/>
          <w:szCs w:val="24"/>
        </w:rPr>
        <w:t>e</w:t>
      </w:r>
      <w:r w:rsidRPr="000136F1">
        <w:rPr>
          <w:rFonts w:ascii="Times New Roman" w:hAnsi="Times New Roman" w:cs="Times New Roman"/>
          <w:color w:val="000000"/>
          <w:sz w:val="24"/>
          <w:szCs w:val="24"/>
        </w:rPr>
        <w:t xml:space="preserve">valuation </w:t>
      </w:r>
      <w:r w:rsidR="00813C45">
        <w:rPr>
          <w:rFonts w:ascii="Times New Roman" w:hAnsi="Times New Roman" w:cs="Times New Roman"/>
          <w:color w:val="000000"/>
          <w:sz w:val="24"/>
          <w:szCs w:val="24"/>
        </w:rPr>
        <w:t>s</w:t>
      </w:r>
      <w:r w:rsidRPr="000136F1">
        <w:rPr>
          <w:rFonts w:ascii="Times New Roman" w:hAnsi="Times New Roman" w:cs="Times New Roman"/>
          <w:color w:val="000000"/>
          <w:sz w:val="24"/>
          <w:szCs w:val="24"/>
        </w:rPr>
        <w:t>ummary are forwarded to DoIT.  The Contract Management Plan is prepared by the unit to detail how it plans to track the milestones and deliverables.  The Project Management Plan is submitted by the vendor as part of the technical proposal.  The BPO is forwarded to DoIT who in turn approve it.  DoIT will also notify the vendors who were not selected for award.</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0136F1" w:rsidRPr="00813C45" w:rsidRDefault="000136F1" w:rsidP="000136F1">
      <w:pPr>
        <w:pStyle w:val="Level1"/>
        <w:widowControl/>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000000"/>
          <w:szCs w:val="24"/>
          <w:u w:val="single"/>
        </w:rPr>
      </w:pPr>
      <w:r w:rsidRPr="00813C45">
        <w:rPr>
          <w:b/>
          <w:color w:val="000000"/>
          <w:szCs w:val="24"/>
          <w:u w:val="single"/>
        </w:rPr>
        <w:t>Debriefing</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0136F1" w:rsidRPr="000136F1" w:rsidRDefault="000136F1" w:rsidP="00813C45">
      <w:pPr>
        <w:tabs>
          <w:tab w:val="left" w:pos="-108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sidRPr="000136F1">
        <w:rPr>
          <w:rFonts w:ascii="Times New Roman" w:hAnsi="Times New Roman" w:cs="Times New Roman"/>
          <w:color w:val="000000"/>
          <w:sz w:val="24"/>
          <w:szCs w:val="24"/>
        </w:rPr>
        <w:t>Under the CATS, when the competitive sealed proposal method is used, unsuccessful offerors have the right to be debriefed. A request for debriefing must be made in writing to the procurement officer within a reasonable period of time after notification of non-recommendation for award.  Debriefings must be conducted in accordance with COMAR 21.05.03.06.  Usually, the procurement officer and Team Leader conduct the debriefing, however, any Team member may substitute for either.  A debriefing may be conducted in person or by teleconference, at the preference of the offeror.</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0136F1" w:rsidRPr="00813C45"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u w:val="single"/>
        </w:rPr>
      </w:pPr>
      <w:r w:rsidRPr="00813C45">
        <w:rPr>
          <w:rFonts w:ascii="Times New Roman" w:hAnsi="Times New Roman" w:cs="Times New Roman"/>
          <w:b/>
          <w:color w:val="000000"/>
          <w:sz w:val="24"/>
          <w:szCs w:val="24"/>
          <w:u w:val="single"/>
        </w:rPr>
        <w:t>Protests and Appeals</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0136F1" w:rsidRPr="000136F1" w:rsidRDefault="000136F1" w:rsidP="00813C45">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sidRPr="000136F1">
        <w:rPr>
          <w:rFonts w:ascii="Times New Roman" w:hAnsi="Times New Roman" w:cs="Times New Roman"/>
          <w:color w:val="000000"/>
          <w:sz w:val="24"/>
          <w:szCs w:val="24"/>
        </w:rPr>
        <w:t>Vendors awarded a CATS contract, and thus able to respond to a TORFP, have, as a condition of contract award, agreed to waive their rights to protest an award.  It follows then, that they also waive their appeal rights.</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0136F1" w:rsidRPr="00813C45"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u w:val="single"/>
        </w:rPr>
      </w:pPr>
      <w:r w:rsidRPr="00813C45">
        <w:rPr>
          <w:rFonts w:ascii="Times New Roman" w:hAnsi="Times New Roman" w:cs="Times New Roman"/>
          <w:b/>
          <w:color w:val="000000"/>
          <w:sz w:val="24"/>
          <w:szCs w:val="24"/>
          <w:u w:val="single"/>
        </w:rPr>
        <w:t>Service Level Agreements</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0136F1" w:rsidRPr="000136F1" w:rsidRDefault="000136F1" w:rsidP="00813C45">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sidRPr="000136F1">
        <w:rPr>
          <w:rFonts w:ascii="Times New Roman" w:hAnsi="Times New Roman" w:cs="Times New Roman"/>
          <w:color w:val="000000"/>
          <w:sz w:val="24"/>
          <w:szCs w:val="24"/>
        </w:rPr>
        <w:t>A recent addition to the information technology contract is the Service Level Agreement (SLA).  Simply stated, an SLA identifies certain levels of service or performance standards that the IT contractor must meet or exceed.  The SLA also specifies the consequences for failure to achieve one or more service levels, usually a service credit applied to the procuring unit, and even perhaps the rewards for exceeding a level of service.  As a rule, the SLA is a separate appendix to the IT contract.  It would, for instance, be an addendum to a Task Order contract obtained through the CATS.</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0136F1" w:rsidRPr="000136F1" w:rsidRDefault="000136F1" w:rsidP="00813C45">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sidRPr="000136F1">
        <w:rPr>
          <w:rFonts w:ascii="Times New Roman" w:hAnsi="Times New Roman" w:cs="Times New Roman"/>
          <w:color w:val="000000"/>
          <w:sz w:val="24"/>
          <w:szCs w:val="24"/>
        </w:rPr>
        <w:t>A good SLA will usually include a section that provides precise definitions of key terms.  Next, specific service levels will be described in various categories, i.e., host Central Processing Unit (CPU) availability, CPU response times, batch job completion, help desk responsiveness, etc.  Usually service level compliance is measured in terms of a number of units per month that a percentage or length of time was or was not met or exceeded.  Other means for measuring services levels are “increased impact” and “frequency factor.”  These measure levels such as:</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cs="Times New Roman"/>
          <w:color w:val="000000"/>
          <w:sz w:val="24"/>
          <w:szCs w:val="24"/>
        </w:rPr>
      </w:pPr>
      <w:r w:rsidRPr="000136F1">
        <w:rPr>
          <w:rFonts w:ascii="Times New Roman" w:hAnsi="Times New Roman" w:cs="Times New Roman"/>
          <w:color w:val="000000"/>
          <w:sz w:val="24"/>
          <w:szCs w:val="24"/>
        </w:rPr>
        <w:tab/>
        <w:t>a.</w:t>
      </w:r>
      <w:r w:rsidRPr="000136F1">
        <w:rPr>
          <w:rFonts w:ascii="Times New Roman" w:hAnsi="Times New Roman" w:cs="Times New Roman"/>
          <w:color w:val="000000"/>
          <w:sz w:val="24"/>
          <w:szCs w:val="24"/>
        </w:rPr>
        <w:tab/>
        <w:t>a level below the agreed upon threshold at which point the procuring unit suffers an “increased impact” and can apply a substantially higher service credit to the contract, or</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Times New Roman" w:hAnsi="Times New Roman" w:cs="Times New Roman"/>
          <w:color w:val="000000"/>
          <w:sz w:val="24"/>
          <w:szCs w:val="24"/>
        </w:rPr>
      </w:pPr>
      <w:r w:rsidRPr="000136F1">
        <w:rPr>
          <w:rFonts w:ascii="Times New Roman" w:hAnsi="Times New Roman" w:cs="Times New Roman"/>
          <w:color w:val="000000"/>
          <w:sz w:val="24"/>
          <w:szCs w:val="24"/>
        </w:rPr>
        <w:tab/>
        <w:t>b.</w:t>
      </w:r>
      <w:r w:rsidRPr="000136F1">
        <w:rPr>
          <w:rFonts w:ascii="Times New Roman" w:hAnsi="Times New Roman" w:cs="Times New Roman"/>
          <w:color w:val="000000"/>
          <w:sz w:val="24"/>
          <w:szCs w:val="24"/>
        </w:rPr>
        <w:tab/>
        <w:t>a factor that measures the number of times a particular service level was missed during a specified interval, such as a rolling 12-month period.</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0136F1" w:rsidRPr="000136F1" w:rsidRDefault="000136F1" w:rsidP="00813C45">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r w:rsidRPr="000136F1">
        <w:rPr>
          <w:rFonts w:ascii="Times New Roman" w:hAnsi="Times New Roman" w:cs="Times New Roman"/>
          <w:color w:val="000000"/>
          <w:sz w:val="24"/>
          <w:szCs w:val="24"/>
        </w:rPr>
        <w:t xml:space="preserve">Often the parties identify a subset of the key service levels that are “critical.”  For these levels, the procuring unit should insist that the parties agree that the contract may be terminated for default by the procuring unit if the contractor fails to meet the critical service levels at the frequency specified.  Another clause often found in most SLAs is one that delineates the allowable reasons for non-performance or a delay in performance, often called a “Force Majeure” clause.  This clause is contained in all standard DHMH contracts as a mandatory clause but may be repeated at the contractors request in the SLA, particularly as it applies to the service levels and credits associated with non-performance.   </w:t>
      </w:r>
    </w:p>
    <w:p w:rsidR="000136F1" w:rsidRPr="000136F1" w:rsidRDefault="000136F1" w:rsidP="000136F1">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sz w:val="24"/>
          <w:szCs w:val="24"/>
        </w:rPr>
      </w:pPr>
    </w:p>
    <w:p w:rsidR="000136F1" w:rsidRPr="000136F1" w:rsidRDefault="000136F1" w:rsidP="00813C45">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0136F1">
        <w:rPr>
          <w:rFonts w:ascii="Times New Roman" w:hAnsi="Times New Roman" w:cs="Times New Roman"/>
          <w:color w:val="000000"/>
          <w:sz w:val="24"/>
          <w:szCs w:val="24"/>
        </w:rPr>
        <w:t>Service Level Agreements may be drafted by either party to the contract and should be written in a spirit of mutual respect and cooperation.  That said, regardless of the drafter, it is imperative that the SLA contain the minimum standard levels of service required by the DHMH procuring unit.  Negotiation should continue with the prospective contractor until the SLA meets the needs of the Department.</w:t>
      </w:r>
    </w:p>
    <w:p w:rsidR="000136F1" w:rsidRPr="000136F1" w:rsidRDefault="000136F1" w:rsidP="00645862">
      <w:pPr>
        <w:rPr>
          <w:rFonts w:ascii="Times New Roman" w:hAnsi="Times New Roman" w:cs="Times New Roman"/>
          <w:sz w:val="24"/>
          <w:szCs w:val="24"/>
        </w:rPr>
      </w:pPr>
    </w:p>
    <w:sectPr w:rsidR="000136F1" w:rsidRPr="000136F1">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7D39" w:rsidRDefault="00D27D39" w:rsidP="00D27D39">
      <w:r>
        <w:separator/>
      </w:r>
    </w:p>
  </w:endnote>
  <w:endnote w:type="continuationSeparator" w:id="0">
    <w:p w:rsidR="00D27D39" w:rsidRDefault="00D27D39" w:rsidP="00D27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822" w:rsidRPr="00A7563D" w:rsidRDefault="007C2822" w:rsidP="007C2822">
    <w:pPr>
      <w:pStyle w:val="Footer"/>
      <w:rPr>
        <w:rFonts w:ascii="Times New Roman" w:hAnsi="Times New Roman" w:cs="Times New Roman"/>
        <w:sz w:val="24"/>
        <w:szCs w:val="24"/>
      </w:rPr>
    </w:pPr>
    <w:r w:rsidRPr="00A7563D">
      <w:rPr>
        <w:rFonts w:ascii="Times New Roman" w:hAnsi="Times New Roman" w:cs="Times New Roman"/>
        <w:sz w:val="24"/>
        <w:szCs w:val="24"/>
      </w:rPr>
      <w:t>Rev  May 2014</w:t>
    </w:r>
  </w:p>
  <w:p w:rsidR="007C2822" w:rsidRDefault="007C2822" w:rsidP="007C2822">
    <w:pPr>
      <w:pStyle w:val="Footer"/>
    </w:pPr>
    <w:r w:rsidRPr="00A7563D">
      <w:rPr>
        <w:rFonts w:ascii="Times New Roman" w:hAnsi="Times New Roman" w:cs="Times New Roman"/>
        <w:sz w:val="24"/>
        <w:szCs w:val="24"/>
      </w:rPr>
      <w:t xml:space="preserve">Office of Procurement &amp; Support Services Vendor </w:t>
    </w:r>
    <w:r w:rsidR="00F70EA9">
      <w:rPr>
        <w:rFonts w:ascii="Times New Roman" w:hAnsi="Times New Roman" w:cs="Times New Roman"/>
        <w:sz w:val="24"/>
        <w:szCs w:val="24"/>
      </w:rPr>
      <w:t xml:space="preserve"> Guide</w:t>
    </w:r>
    <w:r w:rsidR="00F70EA9">
      <w:rPr>
        <w:rFonts w:ascii="Times New Roman" w:hAnsi="Times New Roman" w:cs="Times New Roman"/>
        <w:sz w:val="24"/>
        <w:szCs w:val="24"/>
      </w:rPr>
      <w:tab/>
    </w:r>
    <w:sdt>
      <w:sdtPr>
        <w:rPr>
          <w:rFonts w:ascii="Times New Roman" w:hAnsi="Times New Roman" w:cs="Times New Roman"/>
          <w:sz w:val="24"/>
          <w:szCs w:val="24"/>
        </w:rPr>
        <w:id w:val="495462977"/>
        <w:docPartObj>
          <w:docPartGallery w:val="Page Numbers (Bottom of Page)"/>
          <w:docPartUnique/>
        </w:docPartObj>
      </w:sdtPr>
      <w:sdtEndPr>
        <w:rPr>
          <w:noProof/>
        </w:rPr>
      </w:sdtEndPr>
      <w:sdtContent>
        <w:r w:rsidRPr="00A7563D">
          <w:rPr>
            <w:rFonts w:ascii="Times New Roman" w:hAnsi="Times New Roman" w:cs="Times New Roman"/>
            <w:sz w:val="24"/>
            <w:szCs w:val="24"/>
          </w:rPr>
          <w:fldChar w:fldCharType="begin"/>
        </w:r>
        <w:r w:rsidRPr="00A7563D">
          <w:rPr>
            <w:rFonts w:ascii="Times New Roman" w:hAnsi="Times New Roman" w:cs="Times New Roman"/>
            <w:sz w:val="24"/>
            <w:szCs w:val="24"/>
          </w:rPr>
          <w:instrText xml:space="preserve"> PAGE   \* MERGEFORMAT </w:instrText>
        </w:r>
        <w:r w:rsidRPr="00A7563D">
          <w:rPr>
            <w:rFonts w:ascii="Times New Roman" w:hAnsi="Times New Roman" w:cs="Times New Roman"/>
            <w:sz w:val="24"/>
            <w:szCs w:val="24"/>
          </w:rPr>
          <w:fldChar w:fldCharType="separate"/>
        </w:r>
        <w:r w:rsidR="00780833">
          <w:rPr>
            <w:rFonts w:ascii="Times New Roman" w:hAnsi="Times New Roman" w:cs="Times New Roman"/>
            <w:noProof/>
            <w:sz w:val="24"/>
            <w:szCs w:val="24"/>
          </w:rPr>
          <w:t>2</w:t>
        </w:r>
        <w:r w:rsidRPr="00A7563D">
          <w:rPr>
            <w:rFonts w:ascii="Times New Roman" w:hAnsi="Times New Roman" w:cs="Times New Roman"/>
            <w:noProof/>
            <w:sz w:val="24"/>
            <w:szCs w:val="24"/>
          </w:rPr>
          <w:fldChar w:fldCharType="end"/>
        </w:r>
      </w:sdtContent>
    </w:sdt>
  </w:p>
  <w:p w:rsidR="007C2822" w:rsidRDefault="007C28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7D39" w:rsidRDefault="00D27D39" w:rsidP="00D27D39">
      <w:r>
        <w:separator/>
      </w:r>
    </w:p>
  </w:footnote>
  <w:footnote w:type="continuationSeparator" w:id="0">
    <w:p w:rsidR="00D27D39" w:rsidRDefault="00D27D39" w:rsidP="00D27D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822" w:rsidRDefault="007C2822">
    <w:pPr>
      <w:pStyle w:val="Header"/>
    </w:pPr>
  </w:p>
  <w:p w:rsidR="007C2822" w:rsidRDefault="007C28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2908A7"/>
    <w:multiLevelType w:val="hybridMultilevel"/>
    <w:tmpl w:val="38F0C496"/>
    <w:lvl w:ilvl="0" w:tplc="54B40DB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D39"/>
    <w:rsid w:val="000136F1"/>
    <w:rsid w:val="003B20DA"/>
    <w:rsid w:val="0063523C"/>
    <w:rsid w:val="00645862"/>
    <w:rsid w:val="00780833"/>
    <w:rsid w:val="007C2822"/>
    <w:rsid w:val="00813C45"/>
    <w:rsid w:val="00896EAC"/>
    <w:rsid w:val="00BB14CE"/>
    <w:rsid w:val="00D1246E"/>
    <w:rsid w:val="00D27D39"/>
    <w:rsid w:val="00F70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397CEF-E598-4F33-98BF-0C234FB23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D39"/>
    <w:pPr>
      <w:tabs>
        <w:tab w:val="center" w:pos="4680"/>
        <w:tab w:val="right" w:pos="9360"/>
      </w:tabs>
    </w:pPr>
  </w:style>
  <w:style w:type="character" w:customStyle="1" w:styleId="HeaderChar">
    <w:name w:val="Header Char"/>
    <w:basedOn w:val="DefaultParagraphFont"/>
    <w:link w:val="Header"/>
    <w:uiPriority w:val="99"/>
    <w:rsid w:val="00D27D39"/>
  </w:style>
  <w:style w:type="paragraph" w:styleId="Footer">
    <w:name w:val="footer"/>
    <w:basedOn w:val="Normal"/>
    <w:link w:val="FooterChar"/>
    <w:uiPriority w:val="99"/>
    <w:unhideWhenUsed/>
    <w:rsid w:val="00D27D39"/>
    <w:pPr>
      <w:tabs>
        <w:tab w:val="center" w:pos="4680"/>
        <w:tab w:val="right" w:pos="9360"/>
      </w:tabs>
    </w:pPr>
  </w:style>
  <w:style w:type="character" w:customStyle="1" w:styleId="FooterChar">
    <w:name w:val="Footer Char"/>
    <w:basedOn w:val="DefaultParagraphFont"/>
    <w:link w:val="Footer"/>
    <w:uiPriority w:val="99"/>
    <w:rsid w:val="00D27D39"/>
  </w:style>
  <w:style w:type="paragraph" w:styleId="NormalWeb">
    <w:name w:val="Normal (Web)"/>
    <w:basedOn w:val="Normal"/>
    <w:uiPriority w:val="99"/>
    <w:semiHidden/>
    <w:unhideWhenUsed/>
    <w:rsid w:val="00D27D39"/>
    <w:rPr>
      <w:rFonts w:ascii="Times New Roman" w:eastAsia="Times New Roman" w:hAnsi="Times New Roman" w:cs="Times New Roman"/>
      <w:sz w:val="23"/>
      <w:szCs w:val="23"/>
    </w:rPr>
  </w:style>
  <w:style w:type="character" w:styleId="Hyperlink">
    <w:name w:val="Hyperlink"/>
    <w:basedOn w:val="DefaultParagraphFont"/>
    <w:uiPriority w:val="99"/>
    <w:semiHidden/>
    <w:unhideWhenUsed/>
    <w:rsid w:val="0063523C"/>
    <w:rPr>
      <w:strike w:val="0"/>
      <w:dstrike w:val="0"/>
      <w:color w:val="000099"/>
      <w:u w:val="none"/>
      <w:effect w:val="none"/>
    </w:rPr>
  </w:style>
  <w:style w:type="character" w:styleId="Strong">
    <w:name w:val="Strong"/>
    <w:basedOn w:val="DefaultParagraphFont"/>
    <w:uiPriority w:val="22"/>
    <w:qFormat/>
    <w:rsid w:val="0063523C"/>
    <w:rPr>
      <w:b/>
      <w:bCs/>
    </w:rPr>
  </w:style>
  <w:style w:type="paragraph" w:styleId="BodyTextIndent">
    <w:name w:val="Body Text Indent"/>
    <w:basedOn w:val="Normal"/>
    <w:link w:val="BodyTextIndentChar"/>
    <w:semiHidden/>
    <w:rsid w:val="00645862"/>
    <w:pPr>
      <w:tabs>
        <w:tab w:val="left" w:pos="-10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pPr>
    <w:rPr>
      <w:rFonts w:ascii="Times New Roman" w:eastAsia="Times New Roman" w:hAnsi="Times New Roman" w:cs="Times New Roman"/>
      <w:color w:val="000000"/>
      <w:sz w:val="24"/>
      <w:szCs w:val="20"/>
    </w:rPr>
  </w:style>
  <w:style w:type="character" w:customStyle="1" w:styleId="BodyTextIndentChar">
    <w:name w:val="Body Text Indent Char"/>
    <w:basedOn w:val="DefaultParagraphFont"/>
    <w:link w:val="BodyTextIndent"/>
    <w:semiHidden/>
    <w:rsid w:val="00645862"/>
    <w:rPr>
      <w:rFonts w:ascii="Times New Roman" w:eastAsia="Times New Roman" w:hAnsi="Times New Roman" w:cs="Times New Roman"/>
      <w:color w:val="000000"/>
      <w:sz w:val="24"/>
      <w:szCs w:val="20"/>
    </w:rPr>
  </w:style>
  <w:style w:type="paragraph" w:customStyle="1" w:styleId="Level1">
    <w:name w:val="Level 1"/>
    <w:basedOn w:val="Normal"/>
    <w:rsid w:val="000136F1"/>
    <w:pPr>
      <w:widowControl w:val="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9456731">
      <w:bodyDiv w:val="1"/>
      <w:marLeft w:val="0"/>
      <w:marRight w:val="0"/>
      <w:marTop w:val="0"/>
      <w:marBottom w:val="0"/>
      <w:divBdr>
        <w:top w:val="none" w:sz="0" w:space="0" w:color="auto"/>
        <w:left w:val="none" w:sz="0" w:space="0" w:color="auto"/>
        <w:bottom w:val="none" w:sz="0" w:space="0" w:color="auto"/>
        <w:right w:val="none" w:sz="0" w:space="0" w:color="auto"/>
      </w:divBdr>
      <w:divsChild>
        <w:div w:id="1677338436">
          <w:marLeft w:val="0"/>
          <w:marRight w:val="0"/>
          <w:marTop w:val="0"/>
          <w:marBottom w:val="0"/>
          <w:divBdr>
            <w:top w:val="none" w:sz="0" w:space="0" w:color="auto"/>
            <w:left w:val="none" w:sz="0" w:space="0" w:color="auto"/>
            <w:bottom w:val="none" w:sz="0" w:space="0" w:color="auto"/>
            <w:right w:val="none" w:sz="0" w:space="0" w:color="auto"/>
          </w:divBdr>
          <w:divsChild>
            <w:div w:id="1309941621">
              <w:marLeft w:val="0"/>
              <w:marRight w:val="0"/>
              <w:marTop w:val="0"/>
              <w:marBottom w:val="0"/>
              <w:divBdr>
                <w:top w:val="none" w:sz="0" w:space="0" w:color="auto"/>
                <w:left w:val="none" w:sz="0" w:space="0" w:color="auto"/>
                <w:bottom w:val="none" w:sz="0" w:space="0" w:color="auto"/>
                <w:right w:val="none" w:sz="0" w:space="0" w:color="auto"/>
              </w:divBdr>
              <w:divsChild>
                <w:div w:id="1697999348">
                  <w:marLeft w:val="0"/>
                  <w:marRight w:val="0"/>
                  <w:marTop w:val="0"/>
                  <w:marBottom w:val="0"/>
                  <w:divBdr>
                    <w:top w:val="none" w:sz="0" w:space="0" w:color="auto"/>
                    <w:left w:val="none" w:sz="0" w:space="0" w:color="auto"/>
                    <w:bottom w:val="none" w:sz="0" w:space="0" w:color="auto"/>
                    <w:right w:val="none" w:sz="0" w:space="0" w:color="auto"/>
                  </w:divBdr>
                  <w:divsChild>
                    <w:div w:id="1466847797">
                      <w:marLeft w:val="0"/>
                      <w:marRight w:val="0"/>
                      <w:marTop w:val="0"/>
                      <w:marBottom w:val="0"/>
                      <w:divBdr>
                        <w:top w:val="none" w:sz="0" w:space="0" w:color="auto"/>
                        <w:left w:val="none" w:sz="0" w:space="0" w:color="auto"/>
                        <w:bottom w:val="none" w:sz="0" w:space="0" w:color="auto"/>
                        <w:right w:val="none" w:sz="0" w:space="0" w:color="auto"/>
                      </w:divBdr>
                      <w:divsChild>
                        <w:div w:id="1546333346">
                          <w:marLeft w:val="0"/>
                          <w:marRight w:val="0"/>
                          <w:marTop w:val="0"/>
                          <w:marBottom w:val="0"/>
                          <w:divBdr>
                            <w:top w:val="none" w:sz="0" w:space="0" w:color="auto"/>
                            <w:left w:val="none" w:sz="0" w:space="0" w:color="auto"/>
                            <w:bottom w:val="none" w:sz="0" w:space="0" w:color="auto"/>
                            <w:right w:val="none" w:sz="0" w:space="0" w:color="auto"/>
                          </w:divBdr>
                          <w:divsChild>
                            <w:div w:id="2074813004">
                              <w:marLeft w:val="150"/>
                              <w:marRight w:val="0"/>
                              <w:marTop w:val="0"/>
                              <w:marBottom w:val="150"/>
                              <w:divBdr>
                                <w:top w:val="none" w:sz="0" w:space="0" w:color="auto"/>
                                <w:left w:val="none" w:sz="0" w:space="0" w:color="auto"/>
                                <w:bottom w:val="none" w:sz="0" w:space="0" w:color="auto"/>
                                <w:right w:val="none" w:sz="0" w:space="0" w:color="auto"/>
                              </w:divBdr>
                              <w:divsChild>
                                <w:div w:id="1014303364">
                                  <w:marLeft w:val="0"/>
                                  <w:marRight w:val="0"/>
                                  <w:marTop w:val="0"/>
                                  <w:marBottom w:val="0"/>
                                  <w:divBdr>
                                    <w:top w:val="none" w:sz="0" w:space="0" w:color="auto"/>
                                    <w:left w:val="none" w:sz="0" w:space="0" w:color="auto"/>
                                    <w:bottom w:val="none" w:sz="0" w:space="0" w:color="auto"/>
                                    <w:right w:val="none" w:sz="0" w:space="0" w:color="auto"/>
                                  </w:divBdr>
                                  <w:divsChild>
                                    <w:div w:id="1365669841">
                                      <w:marLeft w:val="0"/>
                                      <w:marRight w:val="0"/>
                                      <w:marTop w:val="0"/>
                                      <w:marBottom w:val="0"/>
                                      <w:divBdr>
                                        <w:top w:val="none" w:sz="0" w:space="0" w:color="auto"/>
                                        <w:left w:val="none" w:sz="0" w:space="0" w:color="auto"/>
                                        <w:bottom w:val="none" w:sz="0" w:space="0" w:color="auto"/>
                                        <w:right w:val="none" w:sz="0" w:space="0" w:color="auto"/>
                                      </w:divBdr>
                                      <w:divsChild>
                                        <w:div w:id="271057825">
                                          <w:marLeft w:val="0"/>
                                          <w:marRight w:val="0"/>
                                          <w:marTop w:val="0"/>
                                          <w:marBottom w:val="0"/>
                                          <w:divBdr>
                                            <w:top w:val="none" w:sz="0" w:space="0" w:color="auto"/>
                                            <w:left w:val="none" w:sz="0" w:space="0" w:color="auto"/>
                                            <w:bottom w:val="none" w:sz="0" w:space="0" w:color="auto"/>
                                            <w:right w:val="none" w:sz="0" w:space="0" w:color="auto"/>
                                          </w:divBdr>
                                        </w:div>
                                        <w:div w:id="10092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312462">
      <w:bodyDiv w:val="1"/>
      <w:marLeft w:val="0"/>
      <w:marRight w:val="0"/>
      <w:marTop w:val="0"/>
      <w:marBottom w:val="0"/>
      <w:divBdr>
        <w:top w:val="none" w:sz="0" w:space="0" w:color="auto"/>
        <w:left w:val="none" w:sz="0" w:space="0" w:color="auto"/>
        <w:bottom w:val="none" w:sz="0" w:space="0" w:color="auto"/>
        <w:right w:val="none" w:sz="0" w:space="0" w:color="auto"/>
      </w:divBdr>
      <w:divsChild>
        <w:div w:id="742727465">
          <w:marLeft w:val="0"/>
          <w:marRight w:val="0"/>
          <w:marTop w:val="0"/>
          <w:marBottom w:val="0"/>
          <w:divBdr>
            <w:top w:val="none" w:sz="0" w:space="0" w:color="auto"/>
            <w:left w:val="none" w:sz="0" w:space="0" w:color="auto"/>
            <w:bottom w:val="none" w:sz="0" w:space="0" w:color="auto"/>
            <w:right w:val="none" w:sz="0" w:space="0" w:color="auto"/>
          </w:divBdr>
          <w:divsChild>
            <w:div w:id="1185821197">
              <w:marLeft w:val="0"/>
              <w:marRight w:val="0"/>
              <w:marTop w:val="0"/>
              <w:marBottom w:val="0"/>
              <w:divBdr>
                <w:top w:val="none" w:sz="0" w:space="0" w:color="auto"/>
                <w:left w:val="none" w:sz="0" w:space="0" w:color="auto"/>
                <w:bottom w:val="none" w:sz="0" w:space="0" w:color="auto"/>
                <w:right w:val="none" w:sz="0" w:space="0" w:color="auto"/>
              </w:divBdr>
              <w:divsChild>
                <w:div w:id="975793158">
                  <w:marLeft w:val="0"/>
                  <w:marRight w:val="0"/>
                  <w:marTop w:val="0"/>
                  <w:marBottom w:val="0"/>
                  <w:divBdr>
                    <w:top w:val="none" w:sz="0" w:space="0" w:color="auto"/>
                    <w:left w:val="none" w:sz="0" w:space="0" w:color="auto"/>
                    <w:bottom w:val="none" w:sz="0" w:space="0" w:color="auto"/>
                    <w:right w:val="none" w:sz="0" w:space="0" w:color="auto"/>
                  </w:divBdr>
                  <w:divsChild>
                    <w:div w:id="1981106603">
                      <w:marLeft w:val="0"/>
                      <w:marRight w:val="0"/>
                      <w:marTop w:val="0"/>
                      <w:marBottom w:val="0"/>
                      <w:divBdr>
                        <w:top w:val="none" w:sz="0" w:space="0" w:color="auto"/>
                        <w:left w:val="none" w:sz="0" w:space="0" w:color="auto"/>
                        <w:bottom w:val="none" w:sz="0" w:space="0" w:color="auto"/>
                        <w:right w:val="none" w:sz="0" w:space="0" w:color="auto"/>
                      </w:divBdr>
                      <w:divsChild>
                        <w:div w:id="205803262">
                          <w:marLeft w:val="0"/>
                          <w:marRight w:val="0"/>
                          <w:marTop w:val="0"/>
                          <w:marBottom w:val="0"/>
                          <w:divBdr>
                            <w:top w:val="none" w:sz="0" w:space="0" w:color="auto"/>
                            <w:left w:val="none" w:sz="0" w:space="0" w:color="auto"/>
                            <w:bottom w:val="none" w:sz="0" w:space="0" w:color="auto"/>
                            <w:right w:val="none" w:sz="0" w:space="0" w:color="auto"/>
                          </w:divBdr>
                          <w:divsChild>
                            <w:div w:id="1870416428">
                              <w:marLeft w:val="150"/>
                              <w:marRight w:val="0"/>
                              <w:marTop w:val="0"/>
                              <w:marBottom w:val="150"/>
                              <w:divBdr>
                                <w:top w:val="none" w:sz="0" w:space="0" w:color="auto"/>
                                <w:left w:val="none" w:sz="0" w:space="0" w:color="auto"/>
                                <w:bottom w:val="none" w:sz="0" w:space="0" w:color="auto"/>
                                <w:right w:val="none" w:sz="0" w:space="0" w:color="auto"/>
                              </w:divBdr>
                              <w:divsChild>
                                <w:div w:id="933897385">
                                  <w:marLeft w:val="0"/>
                                  <w:marRight w:val="0"/>
                                  <w:marTop w:val="0"/>
                                  <w:marBottom w:val="0"/>
                                  <w:divBdr>
                                    <w:top w:val="none" w:sz="0" w:space="0" w:color="auto"/>
                                    <w:left w:val="none" w:sz="0" w:space="0" w:color="auto"/>
                                    <w:bottom w:val="none" w:sz="0" w:space="0" w:color="auto"/>
                                    <w:right w:val="none" w:sz="0" w:space="0" w:color="auto"/>
                                  </w:divBdr>
                                  <w:divsChild>
                                    <w:div w:id="1337029546">
                                      <w:marLeft w:val="0"/>
                                      <w:marRight w:val="0"/>
                                      <w:marTop w:val="0"/>
                                      <w:marBottom w:val="0"/>
                                      <w:divBdr>
                                        <w:top w:val="none" w:sz="0" w:space="0" w:color="auto"/>
                                        <w:left w:val="none" w:sz="0" w:space="0" w:color="auto"/>
                                        <w:bottom w:val="none" w:sz="0" w:space="0" w:color="auto"/>
                                        <w:right w:val="none" w:sz="0" w:space="0" w:color="auto"/>
                                      </w:divBdr>
                                    </w:div>
                                    <w:div w:id="1924952140">
                                      <w:marLeft w:val="0"/>
                                      <w:marRight w:val="0"/>
                                      <w:marTop w:val="0"/>
                                      <w:marBottom w:val="0"/>
                                      <w:divBdr>
                                        <w:top w:val="none" w:sz="0" w:space="0" w:color="auto"/>
                                        <w:left w:val="none" w:sz="0" w:space="0" w:color="auto"/>
                                        <w:bottom w:val="none" w:sz="0" w:space="0" w:color="auto"/>
                                        <w:right w:val="none" w:sz="0" w:space="0" w:color="auto"/>
                                      </w:divBdr>
                                      <w:divsChild>
                                        <w:div w:id="2018799609">
                                          <w:marLeft w:val="0"/>
                                          <w:marRight w:val="0"/>
                                          <w:marTop w:val="0"/>
                                          <w:marBottom w:val="0"/>
                                          <w:divBdr>
                                            <w:top w:val="none" w:sz="0" w:space="0" w:color="auto"/>
                                            <w:left w:val="none" w:sz="0" w:space="0" w:color="auto"/>
                                            <w:bottom w:val="none" w:sz="0" w:space="0" w:color="auto"/>
                                            <w:right w:val="none" w:sz="0" w:space="0" w:color="auto"/>
                                          </w:divBdr>
                                        </w:div>
                                        <w:div w:id="122121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it.state.md.us/itmc/mc_fa.aspx?smc=15&amp;FA=2" TargetMode="External"/><Relationship Id="rId13" Type="http://schemas.openxmlformats.org/officeDocument/2006/relationships/hyperlink" Target="http://www.doit.state.md.us/itmc/mc_fa.aspx?smc=15&amp;FA=7" TargetMode="External"/><Relationship Id="rId18" Type="http://schemas.openxmlformats.org/officeDocument/2006/relationships/hyperlink" Target="http://www.doit.state.md.us/itmc/mc_fa.aspx?smc=15&amp;FA=1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doit.state.md.us/itmc/mc_fa.aspx?smc=15&amp;FA=15" TargetMode="External"/><Relationship Id="rId7" Type="http://schemas.openxmlformats.org/officeDocument/2006/relationships/hyperlink" Target="http://www.doit.state.md.us/itmc/mc_fa.aspx?smc=15&amp;FA=1" TargetMode="External"/><Relationship Id="rId12" Type="http://schemas.openxmlformats.org/officeDocument/2006/relationships/hyperlink" Target="http://www.doit.state.md.us/itmc/mc_fa.aspx?smc=15&amp;FA=6" TargetMode="External"/><Relationship Id="rId17" Type="http://schemas.openxmlformats.org/officeDocument/2006/relationships/hyperlink" Target="http://www.doit.state.md.us/itmc/mc_fa.aspx?smc=15&amp;FA=11" TargetMode="External"/><Relationship Id="rId25" Type="http://schemas.openxmlformats.org/officeDocument/2006/relationships/footer" Target="footer1.xml"/><Relationship Id="rId33"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hyperlink" Target="http://www.doit.state.md.us/itmc/mc_fa.aspx?smc=15&amp;FA=10" TargetMode="External"/><Relationship Id="rId20" Type="http://schemas.openxmlformats.org/officeDocument/2006/relationships/hyperlink" Target="http://www.doit.state.md.us/itmc/mc_fa.aspx?smc=15&amp;FA=14"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it.state.md.us/itmc/mc_fa.aspx?smc=15&amp;FA=5" TargetMode="External"/><Relationship Id="rId24" Type="http://schemas.openxmlformats.org/officeDocument/2006/relationships/header" Target="header1.xml"/><Relationship Id="rId32"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yperlink" Target="http://www.doit.state.md.us/itmc/mc_fa.aspx?smc=15&amp;FA=9" TargetMode="External"/><Relationship Id="rId23" Type="http://schemas.openxmlformats.org/officeDocument/2006/relationships/hyperlink" Target="http://www.doit.state.md.us/itmc/mc_fa.aspx?smc=15&amp;FA=17" TargetMode="External"/><Relationship Id="rId28" Type="http://schemas.openxmlformats.org/officeDocument/2006/relationships/theme" Target="theme/theme1.xml"/><Relationship Id="rId10" Type="http://schemas.openxmlformats.org/officeDocument/2006/relationships/hyperlink" Target="http://www.doit.state.md.us/itmc/mc_fa.aspx?smc=15&amp;FA=4" TargetMode="External"/><Relationship Id="rId19" Type="http://schemas.openxmlformats.org/officeDocument/2006/relationships/hyperlink" Target="http://www.doit.state.md.us/itmc/mc_fa.aspx?smc=15&amp;FA=13" TargetMode="External"/><Relationship Id="rId4" Type="http://schemas.openxmlformats.org/officeDocument/2006/relationships/webSettings" Target="webSettings.xml"/><Relationship Id="rId9" Type="http://schemas.openxmlformats.org/officeDocument/2006/relationships/hyperlink" Target="http://www.doit.state.md.us/itmc/mc_fa.aspx?smc=15&amp;FA=3" TargetMode="External"/><Relationship Id="rId14" Type="http://schemas.openxmlformats.org/officeDocument/2006/relationships/hyperlink" Target="http://www.doit.state.md.us/itmc/mc_fa.aspx?smc=15&amp;FA=8" TargetMode="External"/><Relationship Id="rId22" Type="http://schemas.openxmlformats.org/officeDocument/2006/relationships/hyperlink" Target="http://www.doit.state.md.us/itmc/mc_fa.aspx?smc=15&amp;FA=16"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8A9"/>
    <w:rsid w:val="0018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D1E3BA800F41B7807652573CF5739E">
    <w:name w:val="2ED1E3BA800F41B7807652573CF5739E"/>
    <w:rsid w:val="00185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D09DCAD25954EACDBEA98114FA203" ma:contentTypeVersion="4" ma:contentTypeDescription="Create a new document." ma:contentTypeScope="" ma:versionID="3dc6fca1bac7540b7042e485c34360a4">
  <xsd:schema xmlns:xsd="http://www.w3.org/2001/XMLSchema" xmlns:xs="http://www.w3.org/2001/XMLSchema" xmlns:p="http://schemas.microsoft.com/office/2006/metadata/properties" xmlns:ns1="http://schemas.microsoft.com/sharepoint/v3" xmlns:ns2="cea42ac2-8b55-44f4-8f0c-624b0f4fadcd" targetNamespace="http://schemas.microsoft.com/office/2006/metadata/properties" ma:root="true" ma:fieldsID="83d7e1a216e776b1c746287ea174a728" ns1:_="" ns2:_="">
    <xsd:import namespace="http://schemas.microsoft.com/sharepoint/v3"/>
    <xsd:import namespace="cea42ac2-8b55-44f4-8f0c-624b0f4fadc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a42ac2-8b55-44f4-8f0c-624b0f4fad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1B68BEB57FF844E8F5186CB1852E378" ma:contentTypeVersion="13" ma:contentTypeDescription="Create a new document." ma:contentTypeScope="" ma:versionID="5e1dacac3d9bb5637b1a2038c3a2f970">
  <xsd:schema xmlns:xsd="http://www.w3.org/2001/XMLSchema" xmlns:xs="http://www.w3.org/2001/XMLSchema" xmlns:p="http://schemas.microsoft.com/office/2006/metadata/properties" xmlns:ns1="http://schemas.microsoft.com/sharepoint/v3" targetNamespace="http://schemas.microsoft.com/office/2006/metadata/properties" ma:root="true" ma:fieldsID="e00d6e856316b04bbfd8642c332e56b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ACDFB8-A6E5-424B-B33D-F80E3DAF2759}"/>
</file>

<file path=customXml/itemProps2.xml><?xml version="1.0" encoding="utf-8"?>
<ds:datastoreItem xmlns:ds="http://schemas.openxmlformats.org/officeDocument/2006/customXml" ds:itemID="{0A47E0AE-1FDC-481B-BBEB-B48EC448838C}"/>
</file>

<file path=customXml/itemProps3.xml><?xml version="1.0" encoding="utf-8"?>
<ds:datastoreItem xmlns:ds="http://schemas.openxmlformats.org/officeDocument/2006/customXml" ds:itemID="{3BE85089-007A-42EF-A4B6-CB0D92B29FD1}"/>
</file>

<file path=customXml/itemProps4.xml><?xml version="1.0" encoding="utf-8"?>
<ds:datastoreItem xmlns:ds="http://schemas.openxmlformats.org/officeDocument/2006/customXml" ds:itemID="{1DE18B2D-EA0C-47BB-AA64-2560A6C116E2}"/>
</file>

<file path=customXml/itemProps5.xml><?xml version="1.0" encoding="utf-8"?>
<ds:datastoreItem xmlns:ds="http://schemas.openxmlformats.org/officeDocument/2006/customXml" ds:itemID="{33A3B65B-81C2-469F-9580-5B7E348BE51F}"/>
</file>

<file path=docProps/app.xml><?xml version="1.0" encoding="utf-8"?>
<Properties xmlns="http://schemas.openxmlformats.org/officeDocument/2006/extended-properties" xmlns:vt="http://schemas.openxmlformats.org/officeDocument/2006/docPropsVTypes">
  <Template>Normal</Template>
  <TotalTime>81</TotalTime>
  <Pages>6</Pages>
  <Words>2255</Words>
  <Characters>12855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Gambrill</dc:creator>
  <cp:keywords/>
  <dc:description/>
  <cp:lastModifiedBy>Sharon Gambrill</cp:lastModifiedBy>
  <cp:revision>4</cp:revision>
  <dcterms:created xsi:type="dcterms:W3CDTF">2014-05-09T13:50:00Z</dcterms:created>
  <dcterms:modified xsi:type="dcterms:W3CDTF">2014-05-09T15:35:00Z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0x010100F1B68BEB57FF844E8F5186CB1852E378</vt:lpwstr>
  </property>
  <property fmtid="{D5CDD505-2E9C-101B-9397-08002B2CF9AE}" pid="3" name="_dlc_DocIdItemGuid">
    <vt:lpwstr>a25ae6e2-c329-4361-8eb0-e6f217c8deba</vt:lpwstr>
  </property>
  <property fmtid="{D5CDD505-2E9C-101B-9397-08002B2CF9AE}" pid="4" name="Order">
    <vt:r8>1700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