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pPr>
      <w:r w:rsidDel="00000000" w:rsidR="00000000" w:rsidRPr="00000000">
        <w:rPr>
          <w:rtl w:val="0"/>
        </w:rPr>
        <w:t xml:space="preserve">Medicaid Transition Team Meeting</w:t>
      </w:r>
    </w:p>
    <w:tbl>
      <w:tblPr>
        <w:tblStyle w:val="Table1"/>
        <w:bidiVisual w:val="0"/>
        <w:tblW w:w="10080.0" w:type="dxa"/>
        <w:jc w:val="left"/>
        <w:tblLayout w:type="fixed"/>
        <w:tblLook w:val="0400"/>
      </w:tblPr>
      <w:tblGrid>
        <w:gridCol w:w="1712"/>
        <w:gridCol w:w="8368"/>
        <w:tblGridChange w:id="0">
          <w:tblGrid>
            <w:gridCol w:w="1712"/>
            <w:gridCol w:w="8368"/>
          </w:tblGrid>
        </w:tblGridChange>
      </w:tblGrid>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Location:</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DHMH-Balt-CR-201Bldg-L3</w:t>
            </w:r>
          </w:p>
        </w:tc>
      </w:tr>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Date:</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04/07/2017</w:t>
            </w:r>
          </w:p>
        </w:tc>
      </w:tr>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Time:</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12:00 PM – 2:00 PM</w:t>
            </w:r>
          </w:p>
        </w:tc>
      </w:tr>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Attendees:</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Kate Anderson, Shauna Thompson, Jarrod Terry, Dawnn Williams, Stevanne Ellis, Jeronica Baldwin, Janet Furman, Teri Sparks, Rebecca Oliver, Janet Furman, Ernest Le, Nadine Jean-Baptiste, Ran Quan. </w:t>
            </w:r>
          </w:p>
        </w:tc>
      </w:tr>
    </w:tbl>
    <w:p w:rsidR="00000000" w:rsidDel="00000000" w:rsidP="00000000" w:rsidRDefault="00000000" w:rsidRPr="00000000">
      <w:pPr>
        <w:pStyle w:val="Heading1"/>
        <w:pBdr/>
        <w:contextualSpacing w:val="0"/>
        <w:rPr/>
      </w:pPr>
      <w:r w:rsidDel="00000000" w:rsidR="00000000" w:rsidRPr="00000000">
        <w:rPr>
          <w:rtl w:val="0"/>
        </w:rPr>
        <w:t xml:space="preserve">Agenda items</w:t>
      </w:r>
    </w:p>
    <w:p w:rsidR="00000000" w:rsidDel="00000000" w:rsidP="00000000" w:rsidRDefault="00000000" w:rsidRPr="00000000">
      <w:pPr>
        <w:keepNext w:val="0"/>
        <w:keepLines w:val="0"/>
        <w:widowControl w:val="0"/>
        <w:numPr>
          <w:ilvl w:val="0"/>
          <w:numId w:val="3"/>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Introduction:</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Rebecca introduced background and update about the Community Setting Rule.</w:t>
      </w:r>
    </w:p>
    <w:p w:rsidR="00000000" w:rsidDel="00000000" w:rsidP="00000000" w:rsidRDefault="00000000" w:rsidRPr="00000000">
      <w:pPr>
        <w:keepNext w:val="0"/>
        <w:keepLines w:val="0"/>
        <w:widowControl w:val="0"/>
        <w:numPr>
          <w:ilvl w:val="0"/>
          <w:numId w:val="3"/>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Provider Transition Plan Update:</w:t>
      </w:r>
    </w:p>
    <w:p w:rsidR="00000000" w:rsidDel="00000000" w:rsidP="00000000" w:rsidRDefault="00000000" w:rsidRPr="00000000">
      <w:pPr>
        <w:keepNext w:val="0"/>
        <w:keepLines w:val="0"/>
        <w:widowControl w:val="0"/>
        <w:numPr>
          <w:ilvl w:val="0"/>
          <w:numId w:val="4"/>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Update tally on Provider Transition Plan. We are still waiting for more providers to turn in Correction Action Plan (CAP)/Request for Reconsideration.</w:t>
      </w:r>
    </w:p>
    <w:p w:rsidR="00000000" w:rsidDel="00000000" w:rsidP="00000000" w:rsidRDefault="00000000" w:rsidRPr="00000000">
      <w:pPr>
        <w:keepNext w:val="0"/>
        <w:keepLines w:val="0"/>
        <w:widowControl w:val="0"/>
        <w:numPr>
          <w:ilvl w:val="0"/>
          <w:numId w:val="4"/>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Provider site visits will begin in </w:t>
      </w:r>
      <w:r w:rsidDel="00000000" w:rsidR="00000000" w:rsidRPr="00000000">
        <w:rPr>
          <w:rFonts w:ascii="Times New Roman" w:cs="Times New Roman" w:eastAsia="Times New Roman" w:hAnsi="Times New Roman"/>
          <w:sz w:val="24"/>
          <w:szCs w:val="24"/>
          <w:rtl w:val="0"/>
        </w:rPr>
        <w:t xml:space="preserve">Summer </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2017. We will provide </w:t>
      </w:r>
      <w:r w:rsidDel="00000000" w:rsidR="00000000" w:rsidRPr="00000000">
        <w:rPr>
          <w:rFonts w:ascii="Times New Roman" w:cs="Times New Roman" w:eastAsia="Times New Roman" w:hAnsi="Times New Roman"/>
          <w:sz w:val="24"/>
          <w:szCs w:val="24"/>
          <w:rtl w:val="0"/>
        </w:rPr>
        <w:t xml:space="preserve">a FAQ</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Manual on the Community Setting Rule to providers and participants. </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from Stevanne: Will the FAQ and Manual be available to public?</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from Rebecca: Yes. We will post them on the website before July 2017.</w:t>
      </w:r>
    </w:p>
    <w:p w:rsidR="00000000" w:rsidDel="00000000" w:rsidP="00000000" w:rsidRDefault="00000000" w:rsidRPr="00000000">
      <w:pPr>
        <w:keepNext w:val="0"/>
        <w:keepLines w:val="0"/>
        <w:widowControl w:val="0"/>
        <w:numPr>
          <w:ilvl w:val="0"/>
          <w:numId w:val="3"/>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CMS update:</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Maryland had a phone call with CMS to discuss the STP feedback from CMS.</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Maryland will resubmit the updated STP by April 14, 2017.</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In order to get initial approval, Maryland is making changes to the crosswalk, taking out part of the appendix, providing more details on remediation strategy, etc.</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from Kate: Will the updated STP include new inputs from providers after July 2016? Will the updated STP be made available to the public?</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from Rebecca: OHS will include the CMS update and the feedback today in the STP. It will be made publicly available after submission. Since STP will be shortened, it will be easier to send via email to stakeholders as well.</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from Kate: When will be the final draft of STP posted to the public? Will there be another public comment period for final approval?</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from Rebecca: We are anticipating the final approval of STP in the summer. At the same time, the Department is moving forward for a lot of things: site visits, regs, manual, etc. If there is new information in the STP, we will have a public input period.</w:t>
      </w:r>
    </w:p>
    <w:p w:rsidR="00000000" w:rsidDel="00000000" w:rsidP="00000000" w:rsidRDefault="00000000" w:rsidRPr="00000000">
      <w:pPr>
        <w:keepNext w:val="0"/>
        <w:keepLines w:val="0"/>
        <w:widowControl w:val="0"/>
        <w:numPr>
          <w:ilvl w:val="0"/>
          <w:numId w:val="3"/>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STP Stakeholder Input Recommendations:</w:t>
      </w:r>
    </w:p>
    <w:p w:rsidR="00000000" w:rsidDel="00000000" w:rsidP="00000000" w:rsidRDefault="00000000" w:rsidRPr="00000000">
      <w:pPr>
        <w:keepNext w:val="0"/>
        <w:keepLines w:val="0"/>
        <w:widowControl w:val="0"/>
        <w:pBdr/>
        <w:spacing w:after="200" w:before="0" w:line="264" w:lineRule="auto"/>
        <w:ind w:left="72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Maryland gets stakeholders’ comments on the public input we have received for the STP. Please refer to “Medicaid Transition Team - Public Comments” for more details.</w:t>
      </w:r>
    </w:p>
    <w:p w:rsidR="00000000" w:rsidDel="00000000" w:rsidP="00000000" w:rsidRDefault="00000000" w:rsidRPr="00000000">
      <w:pPr>
        <w:keepNext w:val="0"/>
        <w:keepLines w:val="0"/>
        <w:widowControl w:val="0"/>
        <w:numPr>
          <w:ilvl w:val="0"/>
          <w:numId w:val="2"/>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from Teri: Providers and individual should have more time to know what the result of heightened scrutiny is. It will take a lot of time for individuals to figure out whether they need to move and where they will go.</w:t>
      </w:r>
    </w:p>
    <w:p w:rsidR="00000000" w:rsidDel="00000000" w:rsidP="00000000" w:rsidRDefault="00000000" w:rsidRPr="00000000">
      <w:pPr>
        <w:keepNext w:val="0"/>
        <w:keepLines w:val="0"/>
        <w:widowControl w:val="0"/>
        <w:numPr>
          <w:ilvl w:val="0"/>
          <w:numId w:val="2"/>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from Kate: Community First Choice (CFC) will move to include ALF</w:t>
      </w:r>
      <w:r w:rsidDel="00000000" w:rsidR="00000000" w:rsidRPr="00000000">
        <w:rPr>
          <w:rFonts w:ascii="Times New Roman" w:cs="Times New Roman" w:eastAsia="Times New Roman" w:hAnsi="Times New Roman"/>
          <w:sz w:val="24"/>
          <w:szCs w:val="24"/>
          <w:rtl w:val="0"/>
        </w:rPr>
        <w:t xml:space="preserve">s as a service under CFC, </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so CFC</w:t>
      </w:r>
      <w:r w:rsidDel="00000000" w:rsidR="00000000" w:rsidRPr="00000000">
        <w:rPr>
          <w:rFonts w:ascii="Times New Roman" w:cs="Times New Roman" w:eastAsia="Times New Roman" w:hAnsi="Times New Roman"/>
          <w:sz w:val="24"/>
          <w:szCs w:val="24"/>
          <w:rtl w:val="0"/>
        </w:rPr>
        <w:t xml:space="preserve">’s definition of institution</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will have to be harmonized with the Community setting Rule.</w:t>
      </w:r>
    </w:p>
    <w:p w:rsidR="00000000" w:rsidDel="00000000" w:rsidP="00000000" w:rsidRDefault="00000000" w:rsidRPr="00000000">
      <w:pPr>
        <w:keepNext w:val="0"/>
        <w:keepLines w:val="0"/>
        <w:widowControl w:val="0"/>
        <w:numPr>
          <w:ilvl w:val="0"/>
          <w:numId w:val="2"/>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from Kate: CSQ was designed for support planners to complete. There is potential conflict of interest when support planners are completing the survey for participants’ actual experience. Most participants actually don’t require someone else to complete the survey. So it should be up to the individual to provide that feedback.</w:t>
      </w:r>
    </w:p>
    <w:p w:rsidR="00000000" w:rsidDel="00000000" w:rsidP="00000000" w:rsidRDefault="00000000" w:rsidRPr="00000000">
      <w:pPr>
        <w:keepNext w:val="0"/>
        <w:keepLines w:val="0"/>
        <w:widowControl w:val="0"/>
        <w:pBdr/>
        <w:spacing w:after="200" w:before="0" w:line="264" w:lineRule="auto"/>
        <w:ind w:left="144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The Department wants to make sure we get the comprehensive feedback. The support planners’ job is to ensure the individuals are integrated to the program. Another advantage of CSQ is that it permits us to analyze data. </w:t>
      </w:r>
    </w:p>
    <w:p w:rsidR="00000000" w:rsidDel="00000000" w:rsidP="00000000" w:rsidRDefault="00000000" w:rsidRPr="00000000">
      <w:pPr>
        <w:keepNext w:val="0"/>
        <w:keepLines w:val="0"/>
        <w:widowControl w:val="0"/>
        <w:numPr>
          <w:ilvl w:val="0"/>
          <w:numId w:val="2"/>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from Kate: There should be opportunities for participants to provide feedback. Some participants are in a facility that is not compliant but they would like to stay in the setting very much.</w:t>
      </w:r>
    </w:p>
    <w:p w:rsidR="00000000" w:rsidDel="00000000" w:rsidP="00000000" w:rsidRDefault="00000000" w:rsidRPr="00000000">
      <w:pPr>
        <w:keepNext w:val="0"/>
        <w:keepLines w:val="0"/>
        <w:widowControl w:val="0"/>
        <w:numPr>
          <w:ilvl w:val="0"/>
          <w:numId w:val="2"/>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bookmarkStart w:colFirst="0" w:colLast="0" w:name="_8rqwozta2t06" w:id="0"/>
      <w:bookmarkEnd w:id="0"/>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from Kate: Can residents be notified if their providers are not compliant or are working on compliance? So participants will have the time to execute the right to choose other providers.</w:t>
      </w:r>
    </w:p>
    <w:p w:rsidR="00000000" w:rsidDel="00000000" w:rsidP="00000000" w:rsidRDefault="00000000" w:rsidRPr="00000000">
      <w:pPr>
        <w:numPr>
          <w:ilvl w:val="0"/>
          <w:numId w:val="3"/>
        </w:numPr>
        <w:pBdr/>
        <w:spacing w:after="200" w:lineRule="auto"/>
        <w:ind w:left="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next Medicaid Transition Team meeting will take place on May 3, 2017, 10AM-12PM in DHMH, Conference Room L3.</w:t>
      </w: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tbl>
      <w:tblPr>
        <w:tblStyle w:val="Table2"/>
        <w:bidiVisual w:val="0"/>
        <w:tblW w:w="10070.0" w:type="dxa"/>
        <w:jc w:val="left"/>
        <w:tblLayout w:type="fixed"/>
        <w:tblLook w:val="0400"/>
      </w:tblPr>
      <w:tblGrid>
        <w:gridCol w:w="3060"/>
        <w:gridCol w:w="2336"/>
        <w:gridCol w:w="2337"/>
        <w:gridCol w:w="2337"/>
        <w:tblGridChange w:id="0">
          <w:tblGrid>
            <w:gridCol w:w="3060"/>
            <w:gridCol w:w="2336"/>
            <w:gridCol w:w="2337"/>
            <w:gridCol w:w="2337"/>
          </w:tblGrid>
        </w:tblGridChange>
      </w:tblGrid>
      <w:tr>
        <w:tc>
          <w:tcPr/>
          <w:p w:rsidR="00000000" w:rsidDel="00000000" w:rsidP="00000000" w:rsidRDefault="00000000" w:rsidRPr="00000000">
            <w:pPr>
              <w:pStyle w:val="Heading1"/>
              <w:pBdr/>
              <w:contextualSpacing w:val="0"/>
              <w:rPr/>
            </w:pPr>
            <w:r w:rsidDel="00000000" w:rsidR="00000000" w:rsidRPr="00000000">
              <w:rPr>
                <w:rtl w:val="0"/>
              </w:rPr>
              <w:t xml:space="preserve">Action items</w:t>
            </w:r>
          </w:p>
        </w:tc>
        <w:tc>
          <w:tcPr/>
          <w:p w:rsidR="00000000" w:rsidDel="00000000" w:rsidP="00000000" w:rsidRDefault="00000000" w:rsidRPr="00000000">
            <w:pPr>
              <w:pStyle w:val="Heading1"/>
              <w:pBdr/>
              <w:contextualSpacing w:val="0"/>
              <w:rPr/>
            </w:pPr>
            <w:r w:rsidDel="00000000" w:rsidR="00000000" w:rsidRPr="00000000">
              <w:rPr>
                <w:rtl w:val="0"/>
              </w:rPr>
              <w:t xml:space="preserve">Owner(s)</w:t>
            </w:r>
          </w:p>
        </w:tc>
        <w:tc>
          <w:tcPr/>
          <w:p w:rsidR="00000000" w:rsidDel="00000000" w:rsidP="00000000" w:rsidRDefault="00000000" w:rsidRPr="00000000">
            <w:pPr>
              <w:pStyle w:val="Heading1"/>
              <w:pBdr/>
              <w:contextualSpacing w:val="0"/>
              <w:rPr/>
            </w:pPr>
            <w:r w:rsidDel="00000000" w:rsidR="00000000" w:rsidRPr="00000000">
              <w:rPr>
                <w:rtl w:val="0"/>
              </w:rPr>
              <w:t xml:space="preserve">Deadline</w:t>
            </w:r>
          </w:p>
        </w:tc>
        <w:tc>
          <w:tcPr/>
          <w:p w:rsidR="00000000" w:rsidDel="00000000" w:rsidP="00000000" w:rsidRDefault="00000000" w:rsidRPr="00000000">
            <w:pPr>
              <w:pStyle w:val="Heading1"/>
              <w:pBdr/>
              <w:contextualSpacing w:val="0"/>
              <w:rPr/>
            </w:pPr>
            <w:r w:rsidDel="00000000" w:rsidR="00000000" w:rsidRPr="00000000">
              <w:rPr>
                <w:rtl w:val="0"/>
              </w:rPr>
              <w:t xml:space="preserve">Status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Send stakeholders the updated public input sheet with Maryland Transition Team’s comments.</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Ran</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4/7/2017</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footerReference r:id="rId5" w:type="default"/>
      <w:pgSz w:h="15840" w:w="12240"/>
      <w:pgMar w:bottom="108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720" w:before="0" w:line="240" w:lineRule="auto"/>
      <w:ind w:left="0" w:right="0" w:firstLine="0"/>
      <w:contextualSpacing w:val="0"/>
      <w:jc w:val="right"/>
      <w:rPr>
        <w:rFonts w:ascii="Trebuchet MS" w:cs="Trebuchet MS" w:eastAsia="Trebuchet MS" w:hAnsi="Trebuchet MS"/>
        <w:b w:val="0"/>
        <w:i w:val="0"/>
        <w:smallCaps w:val="0"/>
        <w:strike w:val="0"/>
        <w:color w:val="008cbf"/>
        <w:sz w:val="20"/>
        <w:szCs w:val="20"/>
        <w:u w:val="none"/>
        <w:vertAlign w:val="baseline"/>
      </w:rPr>
    </w:pPr>
    <w:fldSimple w:instr="PAGE" w:fldLock="0" w:dirty="0">
      <w:r w:rsidDel="00000000" w:rsidR="00000000" w:rsidRPr="00000000">
        <w:rPr>
          <w:rFonts w:ascii="Trebuchet MS" w:cs="Trebuchet MS" w:eastAsia="Trebuchet MS" w:hAnsi="Trebuchet MS"/>
          <w:b w:val="0"/>
          <w:i w:val="0"/>
          <w:smallCaps w:val="0"/>
          <w:strike w:val="0"/>
          <w:color w:val="008cbf"/>
          <w:sz w:val="20"/>
          <w:szCs w:val="20"/>
          <w:u w:val="none"/>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3">
    <w:lvl w:ilvl="0">
      <w:start w:val="1"/>
      <w:numFmt w:val="decimal"/>
      <w:lvlText w:val="%1."/>
      <w:lvlJc w:val="left"/>
      <w:pPr>
        <w:ind w:left="360" w:firstLine="0"/>
      </w:pPr>
      <w:rPr>
        <w:color w:val="595959"/>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rebuchet MS" w:cs="Trebuchet MS" w:eastAsia="Trebuchet MS" w:hAnsi="Trebuchet MS"/>
        <w:b w:val="0"/>
        <w:i w:val="0"/>
        <w:smallCaps w:val="0"/>
        <w:strike w:val="0"/>
        <w:color w:val="0d0d0d"/>
        <w:sz w:val="20"/>
        <w:szCs w:val="20"/>
        <w:u w:val="none"/>
        <w:vertAlign w:val="baseline"/>
      </w:rPr>
    </w:rPrDefault>
    <w:pPrDefault>
      <w:pPr>
        <w:keepNext w:val="0"/>
        <w:keepLines w:val="0"/>
        <w:widowControl w:val="0"/>
        <w:pBdr/>
        <w:spacing w:after="280" w:before="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280" w:before="360" w:line="264" w:lineRule="auto"/>
      <w:ind w:left="0" w:right="0" w:firstLine="0"/>
      <w:jc w:val="left"/>
    </w:pPr>
    <w:rPr>
      <w:rFonts w:ascii="Trebuchet MS" w:cs="Trebuchet MS" w:eastAsia="Trebuchet MS" w:hAnsi="Trebuchet MS"/>
      <w:b w:val="0"/>
      <w:i w:val="0"/>
      <w:smallCaps w:val="0"/>
      <w:strike w:val="0"/>
      <w:color w:val="f38200"/>
      <w:sz w:val="30"/>
      <w:szCs w:val="30"/>
      <w:u w:val="none"/>
      <w:vertAlign w:val="baseline"/>
    </w:rPr>
  </w:style>
  <w:style w:type="paragraph" w:styleId="Heading2">
    <w:name w:val="heading 2"/>
    <w:basedOn w:val="Normal"/>
    <w:next w:val="Normal"/>
    <w:pPr>
      <w:keepNext w:val="1"/>
      <w:keepLines w:val="1"/>
      <w:widowControl w:val="0"/>
      <w:pBdr/>
      <w:spacing w:after="0" w:before="40" w:line="264" w:lineRule="auto"/>
      <w:ind w:left="0" w:right="0" w:firstLine="0"/>
      <w:jc w:val="left"/>
    </w:pPr>
    <w:rPr>
      <w:rFonts w:ascii="Trebuchet MS" w:cs="Trebuchet MS" w:eastAsia="Trebuchet MS" w:hAnsi="Trebuchet MS"/>
      <w:b w:val="0"/>
      <w:i w:val="0"/>
      <w:smallCaps w:val="0"/>
      <w:strike w:val="0"/>
      <w:color w:val="f38200"/>
      <w:sz w:val="26"/>
      <w:szCs w:val="26"/>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400" w:before="0" w:line="264" w:lineRule="auto"/>
      <w:ind w:left="0" w:right="0" w:firstLine="0"/>
      <w:jc w:val="left"/>
    </w:pPr>
    <w:rPr>
      <w:rFonts w:ascii="Trebuchet MS" w:cs="Trebuchet MS" w:eastAsia="Trebuchet MS" w:hAnsi="Trebuchet MS"/>
      <w:b w:val="0"/>
      <w:i w:val="0"/>
      <w:smallCaps w:val="0"/>
      <w:strike w:val="0"/>
      <w:color w:val="f38200"/>
      <w:sz w:val="56"/>
      <w:szCs w:val="56"/>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28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footer" Target="footer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9D373897B434D920F58B3EC3FCEFF" ma:contentTypeVersion="10" ma:contentTypeDescription="Create a new document." ma:contentTypeScope="" ma:versionID="1b4ee90a34d5c7488a8009e818ef0a5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B6394BB-3613-4BFB-8DDE-49F496D0E62E}"/>
</file>

<file path=customXml/itemProps2.xml><?xml version="1.0" encoding="utf-8"?>
<ds:datastoreItem xmlns:ds="http://schemas.openxmlformats.org/officeDocument/2006/customXml" ds:itemID="{58AA5AC0-8274-49E5-8336-D17266F94565}"/>
</file>

<file path=customXml/itemProps3.xml><?xml version="1.0" encoding="utf-8"?>
<ds:datastoreItem xmlns:ds="http://schemas.openxmlformats.org/officeDocument/2006/customXml" ds:itemID="{D9524CA1-33CB-4953-A51C-733962188A62}"/>
</file>

<file path=customXml/itemProps4.xml><?xml version="1.0" encoding="utf-8"?>
<ds:datastoreItem xmlns:ds="http://schemas.openxmlformats.org/officeDocument/2006/customXml" ds:itemID="{CA96B4FC-BAE6-47E4-A0CF-F97D7071A5A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0x010100E4E9D373897B434D920F58B3EC3FCEFF</vt:lpwstr>
  </property>
  <property fmtid="{D5CDD505-2E9C-101B-9397-08002B2CF9AE}" pid="3" name="_dlc_DocIdItemGuid">
    <vt:lpwstr>a0b4561f-93be-45ef-9b17-36affdc38e80</vt:lpwstr>
  </property>
</Properties>
</file>