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6C" w:rsidRPr="00C5018C" w:rsidRDefault="00635978" w:rsidP="00DD096C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3CDE35DD" wp14:editId="33C5396D">
            <wp:simplePos x="0" y="0"/>
            <wp:positionH relativeFrom="column">
              <wp:posOffset>5524500</wp:posOffset>
            </wp:positionH>
            <wp:positionV relativeFrom="paragraph">
              <wp:posOffset>0</wp:posOffset>
            </wp:positionV>
            <wp:extent cx="971550" cy="94297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A 05041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0CADF0D7" wp14:editId="07FD13A4">
            <wp:simplePos x="0" y="0"/>
            <wp:positionH relativeFrom="column">
              <wp:posOffset>-589915</wp:posOffset>
            </wp:positionH>
            <wp:positionV relativeFrom="paragraph">
              <wp:posOffset>4445</wp:posOffset>
            </wp:positionV>
            <wp:extent cx="918210" cy="1061930"/>
            <wp:effectExtent l="0" t="0" r="0" b="5080"/>
            <wp:wrapNone/>
            <wp:docPr id="1" name="Picture 4" descr="C:\Users\khiner\Desktop\MHHD LOGO 031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khiner\Desktop\MHHD LOGO 0317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0619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96C" w:rsidRPr="00C5018C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Minority Outreach and Technical Assistance (MOTA)</w:t>
      </w:r>
      <w:r w:rsidR="00DD096C" w:rsidRPr="00DD096C">
        <w:rPr>
          <w:noProof/>
          <w:sz w:val="28"/>
        </w:rPr>
        <w:t xml:space="preserve"> </w:t>
      </w:r>
    </w:p>
    <w:p w:rsidR="00DD096C" w:rsidRDefault="00DD096C" w:rsidP="00DD096C">
      <w:pPr>
        <w:pStyle w:val="NormalWeb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  </w:t>
      </w:r>
      <w:r w:rsidRPr="00C5018C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Partnership Meeting</w:t>
      </w:r>
    </w:p>
    <w:p w:rsidR="00DD096C" w:rsidRDefault="00DD096C">
      <w:pPr>
        <w:rPr>
          <w:b/>
          <w:sz w:val="28"/>
          <w:szCs w:val="28"/>
        </w:rPr>
      </w:pPr>
    </w:p>
    <w:p w:rsidR="008E6B21" w:rsidRDefault="00854E2F">
      <w:pPr>
        <w:rPr>
          <w:b/>
          <w:sz w:val="24"/>
          <w:szCs w:val="24"/>
        </w:rPr>
      </w:pPr>
      <w:r w:rsidRPr="00854E2F">
        <w:rPr>
          <w:b/>
          <w:sz w:val="28"/>
          <w:szCs w:val="28"/>
        </w:rPr>
        <w:t xml:space="preserve"> </w:t>
      </w:r>
      <w:r w:rsidR="00D37E8E">
        <w:rPr>
          <w:b/>
          <w:sz w:val="28"/>
          <w:szCs w:val="28"/>
        </w:rPr>
        <w:t xml:space="preserve">Discrete Elements of </w:t>
      </w:r>
      <w:r w:rsidRPr="00854E2F">
        <w:rPr>
          <w:b/>
          <w:sz w:val="28"/>
          <w:szCs w:val="28"/>
        </w:rPr>
        <w:t>MOTA Programs</w:t>
      </w:r>
    </w:p>
    <w:p w:rsidR="00854E2F" w:rsidRDefault="000322EB">
      <w:pPr>
        <w:rPr>
          <w:b/>
          <w:i/>
          <w:sz w:val="24"/>
          <w:szCs w:val="24"/>
          <w:u w:val="single"/>
        </w:rPr>
      </w:pPr>
      <w:r w:rsidRPr="000322EB">
        <w:rPr>
          <w:b/>
          <w:i/>
          <w:sz w:val="24"/>
          <w:szCs w:val="24"/>
          <w:u w:val="single"/>
        </w:rPr>
        <w:t>MOTA programs are composed of some or all of the following program elements:</w:t>
      </w:r>
    </w:p>
    <w:p w:rsidR="000322EB" w:rsidRDefault="00765974" w:rsidP="00CB51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  </w:t>
      </w:r>
      <w:r w:rsidR="000322EB" w:rsidRPr="001106E7">
        <w:rPr>
          <w:b/>
          <w:sz w:val="24"/>
          <w:szCs w:val="24"/>
          <w:u w:val="single"/>
        </w:rPr>
        <w:t>Required elements of all programs</w:t>
      </w:r>
      <w:r w:rsidR="000322EB">
        <w:rPr>
          <w:b/>
          <w:sz w:val="24"/>
          <w:szCs w:val="24"/>
        </w:rPr>
        <w:t xml:space="preserve"> (from page 11 of the RFA)</w:t>
      </w:r>
    </w:p>
    <w:p w:rsidR="000322EB" w:rsidRDefault="000322EB" w:rsidP="000322E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Active participation in the Local Health Improvement Coalition,</w:t>
      </w:r>
    </w:p>
    <w:p w:rsidR="000322EB" w:rsidRDefault="000322EB" w:rsidP="000322E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Active participation in the cancer and tobacco coalitions,</w:t>
      </w:r>
    </w:p>
    <w:p w:rsidR="000322EB" w:rsidRPr="00D37E8E" w:rsidRDefault="000322EB" w:rsidP="000322E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37E8E">
        <w:rPr>
          <w:b/>
          <w:sz w:val="24"/>
          <w:szCs w:val="24"/>
        </w:rPr>
        <w:t>Convening and participating in a Loc</w:t>
      </w:r>
      <w:r w:rsidR="00D37E8E" w:rsidRPr="00D37E8E">
        <w:rPr>
          <w:b/>
          <w:sz w:val="24"/>
          <w:szCs w:val="24"/>
        </w:rPr>
        <w:t>al Health Disparities Coalition</w:t>
      </w:r>
      <w:r w:rsidR="00D37E8E">
        <w:rPr>
          <w:b/>
          <w:sz w:val="24"/>
          <w:szCs w:val="24"/>
        </w:rPr>
        <w:t>,</w:t>
      </w:r>
    </w:p>
    <w:p w:rsidR="000322EB" w:rsidRPr="00D37E8E" w:rsidRDefault="000322EB" w:rsidP="000322E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37E8E">
        <w:rPr>
          <w:b/>
          <w:sz w:val="24"/>
          <w:szCs w:val="24"/>
        </w:rPr>
        <w:t>Active collaboration with the Local Health Department ,</w:t>
      </w:r>
    </w:p>
    <w:p w:rsidR="000322EB" w:rsidRDefault="000322EB" w:rsidP="000322E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Sustainability activities (including applications for other funding), and</w:t>
      </w:r>
    </w:p>
    <w:p w:rsidR="000322EB" w:rsidRDefault="000322EB" w:rsidP="000322E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Sharing health disparities program information with local representatives</w:t>
      </w:r>
    </w:p>
    <w:p w:rsidR="000322EB" w:rsidRDefault="000322EB" w:rsidP="000322EB">
      <w:pPr>
        <w:rPr>
          <w:sz w:val="24"/>
          <w:szCs w:val="24"/>
        </w:rPr>
      </w:pPr>
      <w:r>
        <w:rPr>
          <w:sz w:val="24"/>
          <w:szCs w:val="24"/>
        </w:rPr>
        <w:t>For items 1 to 4 above, reportable activities include the number of meetings held, and the attendees at each meeting.  Products to be appended to reports for items 1 to 4 include meeting agendas, meeting sign-in sheets, and meeting notes or minutes.</w:t>
      </w:r>
    </w:p>
    <w:p w:rsidR="000322EB" w:rsidRDefault="000322EB" w:rsidP="000322EB">
      <w:pPr>
        <w:rPr>
          <w:sz w:val="24"/>
          <w:szCs w:val="24"/>
        </w:rPr>
      </w:pPr>
      <w:r>
        <w:rPr>
          <w:sz w:val="24"/>
          <w:szCs w:val="24"/>
        </w:rPr>
        <w:t>For items 5 and 6 above, activities should appear in the program plan, and are reported in the monthly narrative reports.</w:t>
      </w:r>
    </w:p>
    <w:p w:rsidR="000322EB" w:rsidRPr="001106E7" w:rsidRDefault="00765974" w:rsidP="00CB5183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B.  </w:t>
      </w:r>
      <w:r w:rsidR="000322EB" w:rsidRPr="001106E7">
        <w:rPr>
          <w:b/>
          <w:sz w:val="24"/>
          <w:szCs w:val="24"/>
          <w:u w:val="single"/>
        </w:rPr>
        <w:t>Outreach activity, with measurable bene</w:t>
      </w:r>
      <w:r w:rsidRPr="001106E7">
        <w:rPr>
          <w:b/>
          <w:sz w:val="24"/>
          <w:szCs w:val="24"/>
          <w:u w:val="single"/>
        </w:rPr>
        <w:t>fit to participants, is required</w:t>
      </w:r>
      <w:r w:rsidR="000322EB" w:rsidRPr="001106E7">
        <w:rPr>
          <w:b/>
          <w:sz w:val="24"/>
          <w:szCs w:val="24"/>
          <w:u w:val="single"/>
        </w:rPr>
        <w:t xml:space="preserve"> of all programs.  This may take the form of one or more of the following:</w:t>
      </w:r>
    </w:p>
    <w:p w:rsidR="000322EB" w:rsidRDefault="000322EB" w:rsidP="000322E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Group sessions where one</w:t>
      </w:r>
      <w:r w:rsidR="009D6FF0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time attendance is </w:t>
      </w:r>
      <w:r w:rsidR="009D6FF0">
        <w:rPr>
          <w:b/>
          <w:sz w:val="24"/>
          <w:szCs w:val="24"/>
        </w:rPr>
        <w:t>the intent</w:t>
      </w:r>
      <w:r w:rsidR="007F23BC">
        <w:rPr>
          <w:b/>
          <w:sz w:val="24"/>
          <w:szCs w:val="24"/>
        </w:rPr>
        <w:t xml:space="preserve"> (one and done)</w:t>
      </w:r>
    </w:p>
    <w:p w:rsidR="009D6FF0" w:rsidRDefault="009D6FF0" w:rsidP="000322E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Group sessions that are part of a longitudinal series.  Repeated attendance by participants is expected.</w:t>
      </w:r>
    </w:p>
    <w:p w:rsidR="009D6FF0" w:rsidRDefault="009D6FF0" w:rsidP="000322E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One-to-one face-to-face meetings </w:t>
      </w:r>
      <w:r w:rsidR="00765974">
        <w:rPr>
          <w:b/>
          <w:sz w:val="24"/>
          <w:szCs w:val="24"/>
        </w:rPr>
        <w:t>of substantial length (15-20 min at least), usually with detailed information exchange, and likely referrals made for issues identified.</w:t>
      </w:r>
    </w:p>
    <w:p w:rsidR="00CB5183" w:rsidRPr="00CB5183" w:rsidRDefault="00CB5183" w:rsidP="0076597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CB5183">
        <w:rPr>
          <w:b/>
          <w:sz w:val="24"/>
          <w:szCs w:val="24"/>
        </w:rPr>
        <w:t>One-to-one longitudinal engagement with a client, such as CHW support</w:t>
      </w:r>
    </w:p>
    <w:p w:rsidR="00765974" w:rsidRPr="00CB5183" w:rsidRDefault="00765974" w:rsidP="00CB5183">
      <w:pPr>
        <w:rPr>
          <w:sz w:val="24"/>
          <w:szCs w:val="24"/>
        </w:rPr>
      </w:pPr>
      <w:r w:rsidRPr="00CB5183">
        <w:rPr>
          <w:sz w:val="24"/>
          <w:szCs w:val="24"/>
        </w:rPr>
        <w:t>For the group activities, reportable outputs include the number of events held, the attendance at each event, the total instances of attendance, the number of unduplicated persons withi</w:t>
      </w:r>
      <w:r w:rsidR="00CB5183">
        <w:rPr>
          <w:sz w:val="24"/>
          <w:szCs w:val="24"/>
        </w:rPr>
        <w:t xml:space="preserve">n those instances of attendance, and the measures of impact.  Products include </w:t>
      </w:r>
      <w:r w:rsidR="007F23BC">
        <w:rPr>
          <w:sz w:val="24"/>
          <w:szCs w:val="24"/>
        </w:rPr>
        <w:t xml:space="preserve">educational curricula, pre- and </w:t>
      </w:r>
      <w:r w:rsidR="00CB5183">
        <w:rPr>
          <w:sz w:val="24"/>
          <w:szCs w:val="24"/>
        </w:rPr>
        <w:t>post</w:t>
      </w:r>
      <w:r w:rsidR="007F23BC">
        <w:rPr>
          <w:sz w:val="24"/>
          <w:szCs w:val="24"/>
        </w:rPr>
        <w:t>-</w:t>
      </w:r>
      <w:r w:rsidR="00CB5183">
        <w:rPr>
          <w:sz w:val="24"/>
          <w:szCs w:val="24"/>
        </w:rPr>
        <w:t xml:space="preserve"> tests, and other assessment tools.</w:t>
      </w:r>
    </w:p>
    <w:p w:rsidR="00765974" w:rsidRDefault="00765974" w:rsidP="00765974">
      <w:pPr>
        <w:rPr>
          <w:sz w:val="24"/>
          <w:szCs w:val="24"/>
        </w:rPr>
      </w:pPr>
      <w:r>
        <w:rPr>
          <w:sz w:val="24"/>
          <w:szCs w:val="24"/>
        </w:rPr>
        <w:lastRenderedPageBreak/>
        <w:t>For the one-on-one meetings, reportable outputs include number of meetings, number of instances of attendance, number of unduplicated persons reached, and the number and type of referrals made.</w:t>
      </w:r>
    </w:p>
    <w:p w:rsidR="00765974" w:rsidRPr="001106E7" w:rsidRDefault="00765974" w:rsidP="00CB5183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C.  </w:t>
      </w:r>
      <w:r w:rsidRPr="001106E7">
        <w:rPr>
          <w:b/>
          <w:sz w:val="24"/>
          <w:szCs w:val="24"/>
          <w:u w:val="single"/>
        </w:rPr>
        <w:t>Optional outreach activities include:</w:t>
      </w:r>
    </w:p>
    <w:p w:rsidR="00765974" w:rsidRPr="00765974" w:rsidRDefault="00765974" w:rsidP="0076597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765974">
        <w:rPr>
          <w:b/>
          <w:sz w:val="24"/>
          <w:szCs w:val="24"/>
        </w:rPr>
        <w:t>Organizing or attending health fairs or other activities with a booth or station.</w:t>
      </w:r>
    </w:p>
    <w:p w:rsidR="00765974" w:rsidRDefault="00765974" w:rsidP="0076597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Distribution of print materials to places for unattended pickup.</w:t>
      </w:r>
    </w:p>
    <w:p w:rsidR="00765974" w:rsidRDefault="00765974" w:rsidP="0076597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Social media activities</w:t>
      </w:r>
    </w:p>
    <w:p w:rsidR="00765974" w:rsidRDefault="00765974" w:rsidP="00765974">
      <w:pPr>
        <w:pStyle w:val="ListParagraph"/>
        <w:ind w:left="0"/>
        <w:rPr>
          <w:b/>
          <w:sz w:val="24"/>
          <w:szCs w:val="24"/>
        </w:rPr>
      </w:pPr>
      <w:r w:rsidRPr="00765974">
        <w:rPr>
          <w:b/>
          <w:sz w:val="24"/>
          <w:szCs w:val="24"/>
        </w:rPr>
        <w:t>Performing any of these optional activities does not substitute for performing at least one of the required outreach activities in section B above.</w:t>
      </w:r>
    </w:p>
    <w:p w:rsidR="00765974" w:rsidRDefault="00765974" w:rsidP="00765974">
      <w:pPr>
        <w:pStyle w:val="ListParagraph"/>
        <w:ind w:left="0"/>
        <w:rPr>
          <w:b/>
          <w:sz w:val="24"/>
          <w:szCs w:val="24"/>
        </w:rPr>
      </w:pPr>
    </w:p>
    <w:p w:rsidR="00765974" w:rsidRDefault="00765974" w:rsidP="00765974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major </w:t>
      </w:r>
      <w:r w:rsidR="00D7341E">
        <w:rPr>
          <w:b/>
          <w:sz w:val="24"/>
          <w:szCs w:val="24"/>
        </w:rPr>
        <w:t>effort of</w:t>
      </w:r>
      <w:r>
        <w:rPr>
          <w:b/>
          <w:sz w:val="24"/>
          <w:szCs w:val="24"/>
        </w:rPr>
        <w:t xml:space="preserve"> any MOTA program is in their section B activities.  </w:t>
      </w:r>
      <w:r w:rsidR="00D7341E">
        <w:rPr>
          <w:b/>
          <w:sz w:val="24"/>
          <w:szCs w:val="24"/>
        </w:rPr>
        <w:t>For any program, the activities can be plotted on the following grid:</w:t>
      </w:r>
    </w:p>
    <w:p w:rsidR="00D7341E" w:rsidRDefault="00D7341E" w:rsidP="00765974">
      <w:pPr>
        <w:pStyle w:val="ListParagraph"/>
        <w:ind w:left="0"/>
        <w:rPr>
          <w:b/>
          <w:sz w:val="24"/>
          <w:szCs w:val="24"/>
        </w:rPr>
      </w:pPr>
    </w:p>
    <w:tbl>
      <w:tblPr>
        <w:tblStyle w:val="TableGrid"/>
        <w:tblW w:w="7938" w:type="dxa"/>
        <w:tblLook w:val="04A0" w:firstRow="1" w:lastRow="0" w:firstColumn="1" w:lastColumn="0" w:noHBand="0" w:noVBand="1"/>
      </w:tblPr>
      <w:tblGrid>
        <w:gridCol w:w="1368"/>
        <w:gridCol w:w="1800"/>
        <w:gridCol w:w="1710"/>
        <w:gridCol w:w="1530"/>
        <w:gridCol w:w="1530"/>
      </w:tblGrid>
      <w:tr w:rsidR="00CB5183" w:rsidTr="00CB5183">
        <w:tc>
          <w:tcPr>
            <w:tcW w:w="1368" w:type="dxa"/>
          </w:tcPr>
          <w:p w:rsidR="00CB5183" w:rsidRPr="00D7341E" w:rsidRDefault="00CB5183" w:rsidP="00765974">
            <w:pPr>
              <w:pStyle w:val="ListParagraph"/>
              <w:ind w:left="0"/>
              <w:rPr>
                <w:b/>
                <w:i/>
                <w:sz w:val="24"/>
                <w:szCs w:val="24"/>
                <w:u w:val="single"/>
              </w:rPr>
            </w:pPr>
            <w:r w:rsidRPr="00D7341E">
              <w:rPr>
                <w:b/>
                <w:i/>
                <w:sz w:val="24"/>
                <w:szCs w:val="24"/>
                <w:u w:val="single"/>
              </w:rPr>
              <w:t>Focus Area</w:t>
            </w:r>
          </w:p>
        </w:tc>
        <w:tc>
          <w:tcPr>
            <w:tcW w:w="180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 session</w:t>
            </w:r>
          </w:p>
          <w:p w:rsidR="00CB5183" w:rsidRDefault="00CB5183" w:rsidP="00CB518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one and done</w:t>
            </w:r>
          </w:p>
        </w:tc>
        <w:tc>
          <w:tcPr>
            <w:tcW w:w="171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 Session</w:t>
            </w:r>
          </w:p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Series</w:t>
            </w:r>
          </w:p>
        </w:tc>
        <w:tc>
          <w:tcPr>
            <w:tcW w:w="1530" w:type="dxa"/>
          </w:tcPr>
          <w:p w:rsidR="00CB5183" w:rsidRDefault="00CB5183" w:rsidP="00CB518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One-to-One</w:t>
            </w:r>
          </w:p>
          <w:p w:rsidR="00CB5183" w:rsidRDefault="00CB5183" w:rsidP="00CB518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face-to-face</w:t>
            </w:r>
          </w:p>
          <w:p w:rsidR="00CB5183" w:rsidRDefault="00CB5183" w:rsidP="00CB518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One time</w:t>
            </w:r>
          </w:p>
        </w:tc>
        <w:tc>
          <w:tcPr>
            <w:tcW w:w="1530" w:type="dxa"/>
          </w:tcPr>
          <w:p w:rsidR="00CB5183" w:rsidRDefault="00CB5183" w:rsidP="00CB518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One-to-One</w:t>
            </w:r>
          </w:p>
          <w:p w:rsidR="00CB5183" w:rsidRDefault="00CB5183" w:rsidP="00CB518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face-to-face</w:t>
            </w:r>
          </w:p>
          <w:p w:rsidR="00CB5183" w:rsidRDefault="00CB5183" w:rsidP="00CB518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series </w:t>
            </w:r>
          </w:p>
        </w:tc>
      </w:tr>
      <w:tr w:rsidR="00CB5183" w:rsidTr="00CB5183">
        <w:tc>
          <w:tcPr>
            <w:tcW w:w="1368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Birth outcomes</w:t>
            </w:r>
          </w:p>
        </w:tc>
        <w:tc>
          <w:tcPr>
            <w:tcW w:w="180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CB5183" w:rsidTr="00CB5183">
        <w:tc>
          <w:tcPr>
            <w:tcW w:w="1368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Cardio-vascular  </w:t>
            </w:r>
          </w:p>
        </w:tc>
        <w:tc>
          <w:tcPr>
            <w:tcW w:w="180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CB5183" w:rsidTr="00CB5183">
        <w:tc>
          <w:tcPr>
            <w:tcW w:w="1368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Diabetes</w:t>
            </w:r>
          </w:p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@</w:t>
            </w:r>
          </w:p>
        </w:tc>
        <w:tc>
          <w:tcPr>
            <w:tcW w:w="153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@</w:t>
            </w:r>
          </w:p>
        </w:tc>
      </w:tr>
      <w:tr w:rsidR="00CB5183" w:rsidTr="00CB5183">
        <w:tc>
          <w:tcPr>
            <w:tcW w:w="1368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Obesity</w:t>
            </w:r>
          </w:p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@</w:t>
            </w:r>
          </w:p>
        </w:tc>
        <w:tc>
          <w:tcPr>
            <w:tcW w:w="153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@</w:t>
            </w:r>
          </w:p>
        </w:tc>
      </w:tr>
      <w:tr w:rsidR="00CB5183" w:rsidTr="00CB5183">
        <w:tc>
          <w:tcPr>
            <w:tcW w:w="1368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Cancer</w:t>
            </w:r>
          </w:p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CB5183" w:rsidTr="00CB5183">
        <w:tc>
          <w:tcPr>
            <w:tcW w:w="1368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Tobacco</w:t>
            </w:r>
          </w:p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CB5183" w:rsidTr="00CB5183">
        <w:tc>
          <w:tcPr>
            <w:tcW w:w="1368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Asthma</w:t>
            </w:r>
          </w:p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CB5183" w:rsidTr="00CB5183">
        <w:tc>
          <w:tcPr>
            <w:tcW w:w="1368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HIV/AIDS</w:t>
            </w:r>
          </w:p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CB5183" w:rsidTr="00CB5183">
        <w:tc>
          <w:tcPr>
            <w:tcW w:w="1368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insurance</w:t>
            </w:r>
          </w:p>
        </w:tc>
        <w:tc>
          <w:tcPr>
            <w:tcW w:w="180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CB5183" w:rsidTr="00CB5183">
        <w:tc>
          <w:tcPr>
            <w:tcW w:w="1368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Medical Home</w:t>
            </w:r>
          </w:p>
        </w:tc>
        <w:tc>
          <w:tcPr>
            <w:tcW w:w="180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CB5183" w:rsidTr="00CB5183">
        <w:tc>
          <w:tcPr>
            <w:tcW w:w="1368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Primary Care</w:t>
            </w:r>
          </w:p>
        </w:tc>
        <w:tc>
          <w:tcPr>
            <w:tcW w:w="180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5183" w:rsidRDefault="00CB5183" w:rsidP="0076597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D7341E" w:rsidRDefault="00D7341E" w:rsidP="00765974">
      <w:pPr>
        <w:pStyle w:val="ListParagraph"/>
        <w:ind w:left="0"/>
        <w:rPr>
          <w:b/>
          <w:sz w:val="24"/>
          <w:szCs w:val="24"/>
        </w:rPr>
      </w:pPr>
    </w:p>
    <w:p w:rsidR="00CB5183" w:rsidRDefault="00CB5183" w:rsidP="00765974">
      <w:pPr>
        <w:pStyle w:val="ListParagraph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In the grid above, the plotting is shown for a program doing the Diabetes Prevention Program exclusively, which is a series of group sessions and some one-to-one face-to-face meetings dealing with </w:t>
      </w:r>
      <w:r w:rsidR="007F23BC">
        <w:rPr>
          <w:i/>
          <w:sz w:val="24"/>
          <w:szCs w:val="24"/>
        </w:rPr>
        <w:t>diabetes and obesity.</w:t>
      </w:r>
    </w:p>
    <w:p w:rsidR="007F23BC" w:rsidRDefault="007F23BC" w:rsidP="00765974">
      <w:pPr>
        <w:pStyle w:val="ListParagraph"/>
        <w:ind w:left="0"/>
        <w:rPr>
          <w:i/>
          <w:sz w:val="24"/>
          <w:szCs w:val="24"/>
        </w:rPr>
      </w:pPr>
    </w:p>
    <w:p w:rsidR="007F23BC" w:rsidRDefault="007F23BC" w:rsidP="00765974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This grid can be summed over all MOTA programs to produce a snapshot of the number of programs performing particular intervention types in particular topic areas.</w:t>
      </w:r>
    </w:p>
    <w:p w:rsidR="007F23BC" w:rsidRDefault="007F23BC" w:rsidP="00765974">
      <w:pPr>
        <w:pStyle w:val="ListParagraph"/>
        <w:ind w:left="0"/>
        <w:rPr>
          <w:sz w:val="24"/>
          <w:szCs w:val="24"/>
        </w:rPr>
      </w:pPr>
    </w:p>
    <w:p w:rsidR="007F23BC" w:rsidRDefault="007F23BC" w:rsidP="00765974">
      <w:pPr>
        <w:pStyle w:val="ListParagraph"/>
        <w:ind w:left="0"/>
        <w:rPr>
          <w:b/>
          <w:sz w:val="24"/>
          <w:szCs w:val="24"/>
        </w:rPr>
      </w:pPr>
      <w:r w:rsidRPr="007F23BC">
        <w:rPr>
          <w:b/>
          <w:sz w:val="24"/>
          <w:szCs w:val="24"/>
        </w:rPr>
        <w:t xml:space="preserve">Each cell in the grid above that is a program element will have its own performance measures </w:t>
      </w:r>
      <w:r>
        <w:rPr>
          <w:b/>
          <w:sz w:val="24"/>
          <w:szCs w:val="24"/>
        </w:rPr>
        <w:t xml:space="preserve">regarding </w:t>
      </w:r>
      <w:r w:rsidRPr="007F23BC">
        <w:rPr>
          <w:b/>
          <w:sz w:val="24"/>
          <w:szCs w:val="24"/>
        </w:rPr>
        <w:t>activity count, attendance, instances of attendance, persons reached, and impact</w:t>
      </w:r>
      <w:r>
        <w:rPr>
          <w:b/>
          <w:sz w:val="24"/>
          <w:szCs w:val="24"/>
        </w:rPr>
        <w:t>.</w:t>
      </w:r>
    </w:p>
    <w:p w:rsidR="00D868BE" w:rsidRDefault="00D868BE" w:rsidP="00D868BE">
      <w:pPr>
        <w:rPr>
          <w:b/>
          <w:sz w:val="28"/>
          <w:szCs w:val="28"/>
        </w:rPr>
        <w:sectPr w:rsidR="00D868BE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868BE" w:rsidRDefault="00D868BE" w:rsidP="00D868BE">
      <w:pPr>
        <w:spacing w:after="0"/>
        <w:rPr>
          <w:b/>
          <w:sz w:val="28"/>
          <w:szCs w:val="28"/>
        </w:rPr>
      </w:pPr>
      <w:r w:rsidRPr="009A354C">
        <w:rPr>
          <w:b/>
          <w:sz w:val="28"/>
          <w:szCs w:val="28"/>
        </w:rPr>
        <w:lastRenderedPageBreak/>
        <w:t>MOTA Program Elements Planning Grid</w:t>
      </w:r>
    </w:p>
    <w:tbl>
      <w:tblPr>
        <w:tblStyle w:val="TableGrid"/>
        <w:tblW w:w="13338" w:type="dxa"/>
        <w:tblLayout w:type="fixed"/>
        <w:tblLook w:val="04A0" w:firstRow="1" w:lastRow="0" w:firstColumn="1" w:lastColumn="0" w:noHBand="0" w:noVBand="1"/>
      </w:tblPr>
      <w:tblGrid>
        <w:gridCol w:w="1818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D868BE" w:rsidTr="00F04024">
        <w:tc>
          <w:tcPr>
            <w:tcW w:w="1818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 w:rsidRPr="006B77DC">
              <w:rPr>
                <w:rFonts w:cstheme="minorHAnsi"/>
                <w:b/>
                <w:sz w:val="24"/>
                <w:szCs w:val="24"/>
              </w:rPr>
              <w:t>Program Element</w:t>
            </w: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 w:rsidRPr="006B77DC">
              <w:rPr>
                <w:rFonts w:cstheme="minorHAnsi"/>
                <w:b/>
                <w:sz w:val="24"/>
                <w:szCs w:val="24"/>
              </w:rPr>
              <w:t>Budget for Element</w:t>
            </w: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Staff time/ materials for element</w:t>
            </w: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Planned frequency of events</w:t>
            </w: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Expected average attendance </w:t>
            </w: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Cumulative instances of reach</w:t>
            </w: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Unduplicate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persons reached</w:t>
            </w: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Measure of impact</w:t>
            </w: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Products and deliverables</w:t>
            </w:r>
          </w:p>
        </w:tc>
      </w:tr>
      <w:tr w:rsidR="00D868BE" w:rsidTr="00F04024">
        <w:tc>
          <w:tcPr>
            <w:tcW w:w="1818" w:type="dxa"/>
          </w:tcPr>
          <w:p w:rsidR="00D868BE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LHIC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partic</w:t>
            </w:r>
            <w:proofErr w:type="spellEnd"/>
          </w:p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68BE" w:rsidTr="00F04024">
        <w:tc>
          <w:tcPr>
            <w:tcW w:w="1818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Cancer and tobacco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partic</w:t>
            </w:r>
            <w:proofErr w:type="spellEnd"/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68BE" w:rsidTr="00F04024">
        <w:tc>
          <w:tcPr>
            <w:tcW w:w="1818" w:type="dxa"/>
          </w:tcPr>
          <w:p w:rsidR="00D868BE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LHD collaborate</w:t>
            </w:r>
          </w:p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68BE" w:rsidTr="00F04024">
        <w:tc>
          <w:tcPr>
            <w:tcW w:w="1818" w:type="dxa"/>
          </w:tcPr>
          <w:p w:rsidR="00D868BE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LHDC convene</w:t>
            </w:r>
          </w:p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68BE" w:rsidTr="00F04024">
        <w:tc>
          <w:tcPr>
            <w:tcW w:w="1818" w:type="dxa"/>
          </w:tcPr>
          <w:p w:rsidR="00D868BE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Sustainability</w:t>
            </w:r>
          </w:p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68BE" w:rsidTr="00F04024">
        <w:tc>
          <w:tcPr>
            <w:tcW w:w="1818" w:type="dxa"/>
          </w:tcPr>
          <w:p w:rsidR="00D868BE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Local reps</w:t>
            </w:r>
          </w:p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68BE" w:rsidTr="00F04024">
        <w:tc>
          <w:tcPr>
            <w:tcW w:w="1818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Group session one-and-done</w:t>
            </w: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68BE" w:rsidTr="00F04024">
        <w:tc>
          <w:tcPr>
            <w:tcW w:w="1818" w:type="dxa"/>
          </w:tcPr>
          <w:p w:rsidR="00D868BE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Group session</w:t>
            </w:r>
          </w:p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Series</w:t>
            </w: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68BE" w:rsidTr="00F04024">
        <w:tc>
          <w:tcPr>
            <w:tcW w:w="1818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One-to-one single time</w:t>
            </w: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68BE" w:rsidTr="00F04024">
        <w:tc>
          <w:tcPr>
            <w:tcW w:w="1818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One-to one series</w:t>
            </w: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68BE" w:rsidTr="00F04024">
        <w:tc>
          <w:tcPr>
            <w:tcW w:w="1818" w:type="dxa"/>
          </w:tcPr>
          <w:p w:rsidR="00D868BE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Booth/station</w:t>
            </w:r>
          </w:p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E.g. Health fair</w:t>
            </w: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68BE" w:rsidTr="00F04024">
        <w:tc>
          <w:tcPr>
            <w:tcW w:w="1818" w:type="dxa"/>
          </w:tcPr>
          <w:p w:rsidR="00D868BE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Social Media</w:t>
            </w:r>
          </w:p>
          <w:p w:rsidR="00D868BE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68BE" w:rsidTr="00F04024">
        <w:tc>
          <w:tcPr>
            <w:tcW w:w="1818" w:type="dxa"/>
          </w:tcPr>
          <w:p w:rsidR="00D868BE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Materials left</w:t>
            </w:r>
          </w:p>
          <w:p w:rsidR="00D868BE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868BE" w:rsidRPr="006B77DC" w:rsidRDefault="00D868BE" w:rsidP="00F0402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D868BE" w:rsidRPr="007F23BC" w:rsidRDefault="00D868BE" w:rsidP="00D868BE">
      <w:pPr>
        <w:pStyle w:val="ListParagraph"/>
        <w:ind w:left="0"/>
        <w:rPr>
          <w:b/>
          <w:sz w:val="24"/>
          <w:szCs w:val="24"/>
        </w:rPr>
      </w:pPr>
    </w:p>
    <w:sectPr w:rsidR="00D868BE" w:rsidRPr="007F23BC" w:rsidSect="00D868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571" w:rsidRDefault="00905571" w:rsidP="007F23BC">
      <w:pPr>
        <w:spacing w:after="0" w:line="240" w:lineRule="auto"/>
      </w:pPr>
      <w:r>
        <w:separator/>
      </w:r>
    </w:p>
  </w:endnote>
  <w:endnote w:type="continuationSeparator" w:id="0">
    <w:p w:rsidR="00905571" w:rsidRDefault="00905571" w:rsidP="007F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1044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23BC" w:rsidRDefault="007F23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6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23BC" w:rsidRDefault="007F2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571" w:rsidRDefault="00905571" w:rsidP="007F23BC">
      <w:pPr>
        <w:spacing w:after="0" w:line="240" w:lineRule="auto"/>
      </w:pPr>
      <w:r>
        <w:separator/>
      </w:r>
    </w:p>
  </w:footnote>
  <w:footnote w:type="continuationSeparator" w:id="0">
    <w:p w:rsidR="00905571" w:rsidRDefault="00905571" w:rsidP="007F2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7072"/>
    <w:multiLevelType w:val="hybridMultilevel"/>
    <w:tmpl w:val="448AD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2BE8"/>
    <w:multiLevelType w:val="hybridMultilevel"/>
    <w:tmpl w:val="590C9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466B6"/>
    <w:multiLevelType w:val="hybridMultilevel"/>
    <w:tmpl w:val="329E4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3139E"/>
    <w:multiLevelType w:val="hybridMultilevel"/>
    <w:tmpl w:val="7F1CE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2F"/>
    <w:rsid w:val="000322EB"/>
    <w:rsid w:val="001000EA"/>
    <w:rsid w:val="001106E7"/>
    <w:rsid w:val="00635978"/>
    <w:rsid w:val="00765974"/>
    <w:rsid w:val="007F23BC"/>
    <w:rsid w:val="00854E2F"/>
    <w:rsid w:val="008E6B21"/>
    <w:rsid w:val="00905571"/>
    <w:rsid w:val="009D6FF0"/>
    <w:rsid w:val="00B876D4"/>
    <w:rsid w:val="00CB5183"/>
    <w:rsid w:val="00D37E8E"/>
    <w:rsid w:val="00D7341E"/>
    <w:rsid w:val="00D868BE"/>
    <w:rsid w:val="00DD096C"/>
    <w:rsid w:val="00E9025B"/>
    <w:rsid w:val="00EB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69643F-538A-4EB5-B7B4-138F2DAB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2EB"/>
    <w:pPr>
      <w:ind w:left="720"/>
      <w:contextualSpacing/>
    </w:pPr>
  </w:style>
  <w:style w:type="table" w:styleId="TableGrid">
    <w:name w:val="Table Grid"/>
    <w:basedOn w:val="TableNormal"/>
    <w:uiPriority w:val="59"/>
    <w:rsid w:val="00D73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2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3BC"/>
  </w:style>
  <w:style w:type="paragraph" w:styleId="Footer">
    <w:name w:val="footer"/>
    <w:basedOn w:val="Normal"/>
    <w:link w:val="FooterChar"/>
    <w:uiPriority w:val="99"/>
    <w:unhideWhenUsed/>
    <w:rsid w:val="007F2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3BC"/>
  </w:style>
  <w:style w:type="paragraph" w:styleId="NormalWeb">
    <w:name w:val="Normal (Web)"/>
    <w:basedOn w:val="Normal"/>
    <w:uiPriority w:val="99"/>
    <w:unhideWhenUsed/>
    <w:rsid w:val="00DD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60843E6714E4589BE233AD82B5E25" ma:contentTypeVersion="11" ma:contentTypeDescription="Create a new document." ma:contentTypeScope="" ma:versionID="c276cc5a13d5eb2394827419f2687d8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00d6e856316b04bbfd8642c332e56b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9DDA4-B4E4-427A-9810-6F51B62D184C}"/>
</file>

<file path=customXml/itemProps2.xml><?xml version="1.0" encoding="utf-8"?>
<ds:datastoreItem xmlns:ds="http://schemas.openxmlformats.org/officeDocument/2006/customXml" ds:itemID="{CEAD34ED-346C-4B34-822D-44231777DBA5}"/>
</file>

<file path=customXml/itemProps3.xml><?xml version="1.0" encoding="utf-8"?>
<ds:datastoreItem xmlns:ds="http://schemas.openxmlformats.org/officeDocument/2006/customXml" ds:itemID="{6932EE45-94E0-4C22-ACAE-5A9A2A9A36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Mann</dc:creator>
  <cp:lastModifiedBy>Kimberly Hiner</cp:lastModifiedBy>
  <cp:revision>2</cp:revision>
  <dcterms:created xsi:type="dcterms:W3CDTF">2017-05-31T16:10:00Z</dcterms:created>
  <dcterms:modified xsi:type="dcterms:W3CDTF">2017-05-31T16:10:00Z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0x0101005D660843E6714E4589BE233AD82B5E25</vt:lpwstr>
  </property>
</Properties>
</file>