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FAF64" w14:textId="4E66D94D" w:rsidR="006D5CA4" w:rsidRDefault="006D5CA4">
      <w:pPr>
        <w:rPr>
          <w:rFonts w:cs="Times New Roman"/>
        </w:rPr>
      </w:pPr>
    </w:p>
    <w:p w14:paraId="3C75645B" w14:textId="7E97C8CD" w:rsidR="00EB47B2" w:rsidRDefault="00EB47B2">
      <w:pPr>
        <w:rPr>
          <w:rFonts w:cs="Times New Roman"/>
        </w:rPr>
      </w:pPr>
    </w:p>
    <w:p w14:paraId="1FFF6732" w14:textId="77777777" w:rsidR="00EB47B2" w:rsidRDefault="00EB47B2">
      <w:pPr>
        <w:rPr>
          <w:rFonts w:cs="Times New Roman"/>
        </w:rPr>
      </w:pPr>
    </w:p>
    <w:p w14:paraId="097CCD72" w14:textId="77777777" w:rsidR="002F7954" w:rsidRDefault="002F7954">
      <w:pPr>
        <w:rPr>
          <w:rFonts w:cs="Times New Roman"/>
        </w:rPr>
      </w:pPr>
    </w:p>
    <w:p w14:paraId="6872911D" w14:textId="77777777" w:rsidR="004C55C9" w:rsidRDefault="004C55C9">
      <w:pPr>
        <w:rPr>
          <w:rFonts w:cs="Times New Roman"/>
        </w:rPr>
        <w:sectPr w:rsidR="004C55C9" w:rsidSect="006B582C">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pPr>
    </w:p>
    <w:p w14:paraId="7C769C85" w14:textId="112D23C3" w:rsidR="00FA22C2" w:rsidRDefault="00D50E85" w:rsidP="00325C1B">
      <w:r>
        <w:t>May 4</w:t>
      </w:r>
      <w:r w:rsidR="00BE3878">
        <w:t>, 2020</w:t>
      </w:r>
    </w:p>
    <w:p w14:paraId="592FE4DC" w14:textId="77777777" w:rsidR="002F7954" w:rsidRDefault="002F7954" w:rsidP="00325C1B"/>
    <w:p w14:paraId="61A8C28E" w14:textId="29B9904C" w:rsidR="002F7954" w:rsidRPr="002F7954" w:rsidRDefault="002F7954" w:rsidP="002F7954">
      <w:pPr>
        <w:jc w:val="center"/>
        <w:rPr>
          <w:rFonts w:ascii="Georgia" w:hAnsi="Georgia" w:cs="Times New Roman"/>
          <w:b/>
          <w:sz w:val="32"/>
          <w:szCs w:val="32"/>
        </w:rPr>
      </w:pPr>
      <w:r w:rsidRPr="002F7954">
        <w:rPr>
          <w:rFonts w:ascii="Georgia" w:hAnsi="Georgia" w:cs="Times New Roman"/>
          <w:b/>
          <w:sz w:val="32"/>
          <w:szCs w:val="32"/>
        </w:rPr>
        <w:t>Developmental Disabilities Administration (DDA)</w:t>
      </w:r>
      <w:r w:rsidR="00B912E9">
        <w:rPr>
          <w:rFonts w:ascii="Georgia" w:hAnsi="Georgia" w:cs="Times New Roman"/>
          <w:b/>
          <w:sz w:val="32"/>
          <w:szCs w:val="32"/>
        </w:rPr>
        <w:t xml:space="preserve"> </w:t>
      </w:r>
      <w:bookmarkStart w:id="0" w:name="_GoBack"/>
      <w:bookmarkEnd w:id="0"/>
    </w:p>
    <w:p w14:paraId="3EA397BE" w14:textId="0E71F2C6" w:rsidR="00325C1B" w:rsidRDefault="00FF2DE2" w:rsidP="002F7954">
      <w:pPr>
        <w:jc w:val="center"/>
        <w:rPr>
          <w:rFonts w:ascii="Georgia" w:hAnsi="Georgia"/>
          <w:b/>
          <w:sz w:val="32"/>
          <w:szCs w:val="32"/>
        </w:rPr>
      </w:pPr>
      <w:r>
        <w:rPr>
          <w:rFonts w:ascii="Georgia" w:hAnsi="Georgia"/>
          <w:b/>
          <w:sz w:val="32"/>
          <w:szCs w:val="32"/>
        </w:rPr>
        <w:t xml:space="preserve">Invoicing Instructions for </w:t>
      </w:r>
      <w:r w:rsidR="00325C1B" w:rsidRPr="003C7799">
        <w:rPr>
          <w:rFonts w:ascii="Georgia" w:hAnsi="Georgia"/>
          <w:b/>
          <w:sz w:val="32"/>
          <w:szCs w:val="32"/>
        </w:rPr>
        <w:t>Community Pathway’s Waiver</w:t>
      </w:r>
      <w:r w:rsidR="00BB3B0A">
        <w:rPr>
          <w:rFonts w:ascii="Georgia" w:hAnsi="Georgia"/>
          <w:b/>
          <w:sz w:val="32"/>
          <w:szCs w:val="32"/>
        </w:rPr>
        <w:t xml:space="preserve"> (CPW)</w:t>
      </w:r>
      <w:r w:rsidR="00325C1B" w:rsidRPr="003C7799">
        <w:rPr>
          <w:rFonts w:ascii="Georgia" w:hAnsi="Georgia"/>
          <w:b/>
          <w:sz w:val="32"/>
          <w:szCs w:val="32"/>
        </w:rPr>
        <w:t xml:space="preserve"> </w:t>
      </w:r>
      <w:r w:rsidR="0013733A">
        <w:rPr>
          <w:rFonts w:ascii="Georgia" w:hAnsi="Georgia"/>
          <w:b/>
          <w:sz w:val="32"/>
          <w:szCs w:val="32"/>
        </w:rPr>
        <w:t xml:space="preserve">and COVID-19 </w:t>
      </w:r>
      <w:r w:rsidR="003C7799" w:rsidRPr="003C7799">
        <w:rPr>
          <w:rFonts w:ascii="Georgia" w:hAnsi="Georgia"/>
          <w:b/>
          <w:sz w:val="32"/>
          <w:szCs w:val="32"/>
        </w:rPr>
        <w:t xml:space="preserve">Non-Fee Payment System </w:t>
      </w:r>
      <w:r w:rsidR="002F7954">
        <w:rPr>
          <w:rFonts w:ascii="Georgia" w:hAnsi="Georgia"/>
          <w:b/>
          <w:sz w:val="32"/>
          <w:szCs w:val="32"/>
        </w:rPr>
        <w:t xml:space="preserve">(Non-FPS) </w:t>
      </w:r>
      <w:r w:rsidR="00325C1B" w:rsidRPr="003C7799">
        <w:rPr>
          <w:rFonts w:ascii="Georgia" w:hAnsi="Georgia"/>
          <w:b/>
          <w:sz w:val="32"/>
          <w:szCs w:val="32"/>
        </w:rPr>
        <w:t>Services</w:t>
      </w:r>
      <w:r w:rsidR="00E4549B">
        <w:rPr>
          <w:rFonts w:ascii="Georgia" w:hAnsi="Georgia"/>
          <w:b/>
          <w:sz w:val="32"/>
          <w:szCs w:val="32"/>
        </w:rPr>
        <w:t xml:space="preserve"> </w:t>
      </w:r>
    </w:p>
    <w:p w14:paraId="41365A99" w14:textId="77777777" w:rsidR="00E20A60" w:rsidRPr="002F7954" w:rsidRDefault="00E20A60" w:rsidP="002F7954">
      <w:pPr>
        <w:jc w:val="center"/>
        <w:rPr>
          <w:rFonts w:cs="Times New Roman"/>
        </w:rPr>
      </w:pPr>
    </w:p>
    <w:p w14:paraId="35EAEFC1" w14:textId="645A372E" w:rsidR="00325C1B" w:rsidRDefault="0003231D" w:rsidP="00325C1B">
      <w:pPr>
        <w:pStyle w:val="Subtitle"/>
        <w:spacing w:before="0" w:after="0"/>
      </w:pPr>
      <w:r>
        <w:t>Transmittal # DDA2020</w:t>
      </w:r>
      <w:r w:rsidR="00BE3878">
        <w:t>002</w:t>
      </w:r>
    </w:p>
    <w:p w14:paraId="10FCA133" w14:textId="2F27E2D0" w:rsidR="00325C1B" w:rsidRDefault="00325C1B" w:rsidP="00325C1B">
      <w:pPr>
        <w:rPr>
          <w:b/>
        </w:rPr>
      </w:pPr>
      <w:r>
        <w:rPr>
          <w:b/>
        </w:rPr>
        <w:t xml:space="preserve">Effective Date: </w:t>
      </w:r>
      <w:r w:rsidR="008005EC">
        <w:rPr>
          <w:b/>
        </w:rPr>
        <w:t>July 1, 2019</w:t>
      </w:r>
      <w:r w:rsidR="00BE3878">
        <w:rPr>
          <w:b/>
        </w:rPr>
        <w:t xml:space="preserve"> (COVID</w:t>
      </w:r>
      <w:r w:rsidR="009A43DF">
        <w:rPr>
          <w:b/>
        </w:rPr>
        <w:t>-</w:t>
      </w:r>
      <w:r w:rsidR="00BE3878">
        <w:rPr>
          <w:b/>
        </w:rPr>
        <w:t>19</w:t>
      </w:r>
      <w:r w:rsidR="009A43DF">
        <w:rPr>
          <w:b/>
        </w:rPr>
        <w:t xml:space="preserve"> </w:t>
      </w:r>
      <w:r w:rsidR="0013733A">
        <w:rPr>
          <w:b/>
        </w:rPr>
        <w:t xml:space="preserve">Non-FPS Services </w:t>
      </w:r>
      <w:r w:rsidR="009A43DF">
        <w:rPr>
          <w:b/>
        </w:rPr>
        <w:t>Effective Date:</w:t>
      </w:r>
      <w:r w:rsidR="00BE3B0F">
        <w:rPr>
          <w:b/>
        </w:rPr>
        <w:t xml:space="preserve"> </w:t>
      </w:r>
      <w:r w:rsidR="00BE3878">
        <w:rPr>
          <w:b/>
        </w:rPr>
        <w:t>March 13, 2020)</w:t>
      </w:r>
    </w:p>
    <w:bookmarkStart w:id="1" w:name="_Toc39495126" w:displacedByCustomXml="next"/>
    <w:sdt>
      <w:sdtPr>
        <w:rPr>
          <w:rFonts w:ascii="Times New Roman" w:eastAsiaTheme="minorHAnsi" w:hAnsi="Times New Roman"/>
          <w:b w:val="0"/>
          <w:bCs w:val="0"/>
          <w:caps w:val="0"/>
          <w:spacing w:val="0"/>
          <w:sz w:val="20"/>
          <w:szCs w:val="20"/>
        </w:rPr>
        <w:id w:val="474185308"/>
        <w:docPartObj>
          <w:docPartGallery w:val="Table of Contents"/>
          <w:docPartUnique/>
        </w:docPartObj>
      </w:sdtPr>
      <w:sdtEndPr>
        <w:rPr>
          <w:noProof/>
          <w:sz w:val="24"/>
          <w:szCs w:val="24"/>
        </w:rPr>
      </w:sdtEndPr>
      <w:sdtContent>
        <w:p w14:paraId="46C0CC16" w14:textId="77777777" w:rsidR="00325C1B" w:rsidRDefault="00325C1B" w:rsidP="00325C1B">
          <w:pPr>
            <w:pStyle w:val="Heading1"/>
          </w:pPr>
          <w:r w:rsidRPr="00325C1B">
            <w:t>Contents</w:t>
          </w:r>
          <w:bookmarkEnd w:id="1"/>
        </w:p>
        <w:p w14:paraId="485B1183" w14:textId="77777777" w:rsidR="0013733A" w:rsidRDefault="00325C1B">
          <w:pPr>
            <w:pStyle w:val="TOC1"/>
            <w:rPr>
              <w:rFonts w:asciiTheme="minorHAnsi" w:hAnsiTheme="minorHAnsi"/>
              <w:noProof/>
              <w:sz w:val="22"/>
              <w:szCs w:val="22"/>
            </w:rPr>
          </w:pPr>
          <w:r w:rsidRPr="00D245C9">
            <w:rPr>
              <w:rFonts w:cs="Times New Roman"/>
              <w:sz w:val="24"/>
              <w:szCs w:val="24"/>
            </w:rPr>
            <w:fldChar w:fldCharType="begin"/>
          </w:r>
          <w:r w:rsidRPr="00D245C9">
            <w:rPr>
              <w:rFonts w:cs="Times New Roman"/>
              <w:sz w:val="24"/>
              <w:szCs w:val="24"/>
            </w:rPr>
            <w:instrText xml:space="preserve"> TOC \o "1-3" \h \z \u </w:instrText>
          </w:r>
          <w:r w:rsidRPr="00D245C9">
            <w:rPr>
              <w:rFonts w:cs="Times New Roman"/>
              <w:sz w:val="24"/>
              <w:szCs w:val="24"/>
            </w:rPr>
            <w:fldChar w:fldCharType="separate"/>
          </w:r>
          <w:hyperlink w:anchor="_Toc39495126" w:history="1">
            <w:r w:rsidR="0013733A" w:rsidRPr="00471E78">
              <w:rPr>
                <w:rStyle w:val="Hyperlink"/>
                <w:noProof/>
              </w:rPr>
              <w:t>Contents</w:t>
            </w:r>
            <w:r w:rsidR="0013733A">
              <w:rPr>
                <w:noProof/>
                <w:webHidden/>
              </w:rPr>
              <w:tab/>
            </w:r>
            <w:r w:rsidR="0013733A">
              <w:rPr>
                <w:noProof/>
                <w:webHidden/>
              </w:rPr>
              <w:fldChar w:fldCharType="begin"/>
            </w:r>
            <w:r w:rsidR="0013733A">
              <w:rPr>
                <w:noProof/>
                <w:webHidden/>
              </w:rPr>
              <w:instrText xml:space="preserve"> PAGEREF _Toc39495126 \h </w:instrText>
            </w:r>
            <w:r w:rsidR="0013733A">
              <w:rPr>
                <w:noProof/>
                <w:webHidden/>
              </w:rPr>
            </w:r>
            <w:r w:rsidR="0013733A">
              <w:rPr>
                <w:noProof/>
                <w:webHidden/>
              </w:rPr>
              <w:fldChar w:fldCharType="separate"/>
            </w:r>
            <w:r w:rsidR="0013733A">
              <w:rPr>
                <w:noProof/>
                <w:webHidden/>
              </w:rPr>
              <w:t>1</w:t>
            </w:r>
            <w:r w:rsidR="0013733A">
              <w:rPr>
                <w:noProof/>
                <w:webHidden/>
              </w:rPr>
              <w:fldChar w:fldCharType="end"/>
            </w:r>
          </w:hyperlink>
        </w:p>
        <w:p w14:paraId="68BBAD5F" w14:textId="77777777" w:rsidR="0013733A" w:rsidRDefault="0013733A">
          <w:pPr>
            <w:pStyle w:val="TOC1"/>
            <w:rPr>
              <w:rFonts w:asciiTheme="minorHAnsi" w:hAnsiTheme="minorHAnsi"/>
              <w:noProof/>
              <w:sz w:val="22"/>
              <w:szCs w:val="22"/>
            </w:rPr>
          </w:pPr>
          <w:hyperlink w:anchor="_Toc39495127" w:history="1">
            <w:r w:rsidRPr="00471E78">
              <w:rPr>
                <w:rStyle w:val="Hyperlink"/>
                <w:noProof/>
              </w:rPr>
              <w:t>Audience</w:t>
            </w:r>
            <w:r>
              <w:rPr>
                <w:noProof/>
                <w:webHidden/>
              </w:rPr>
              <w:tab/>
            </w:r>
            <w:r>
              <w:rPr>
                <w:noProof/>
                <w:webHidden/>
              </w:rPr>
              <w:fldChar w:fldCharType="begin"/>
            </w:r>
            <w:r>
              <w:rPr>
                <w:noProof/>
                <w:webHidden/>
              </w:rPr>
              <w:instrText xml:space="preserve"> PAGEREF _Toc39495127 \h </w:instrText>
            </w:r>
            <w:r>
              <w:rPr>
                <w:noProof/>
                <w:webHidden/>
              </w:rPr>
            </w:r>
            <w:r>
              <w:rPr>
                <w:noProof/>
                <w:webHidden/>
              </w:rPr>
              <w:fldChar w:fldCharType="separate"/>
            </w:r>
            <w:r>
              <w:rPr>
                <w:noProof/>
                <w:webHidden/>
              </w:rPr>
              <w:t>1</w:t>
            </w:r>
            <w:r>
              <w:rPr>
                <w:noProof/>
                <w:webHidden/>
              </w:rPr>
              <w:fldChar w:fldCharType="end"/>
            </w:r>
          </w:hyperlink>
        </w:p>
        <w:p w14:paraId="02F70D1A" w14:textId="77777777" w:rsidR="0013733A" w:rsidRDefault="0013733A">
          <w:pPr>
            <w:pStyle w:val="TOC1"/>
            <w:rPr>
              <w:rFonts w:asciiTheme="minorHAnsi" w:hAnsiTheme="minorHAnsi"/>
              <w:noProof/>
              <w:sz w:val="22"/>
              <w:szCs w:val="22"/>
            </w:rPr>
          </w:pPr>
          <w:hyperlink w:anchor="_Toc39495128" w:history="1">
            <w:r w:rsidRPr="00471E78">
              <w:rPr>
                <w:rStyle w:val="Hyperlink"/>
                <w:noProof/>
              </w:rPr>
              <w:t>Purpose</w:t>
            </w:r>
            <w:r>
              <w:rPr>
                <w:noProof/>
                <w:webHidden/>
              </w:rPr>
              <w:tab/>
            </w:r>
            <w:r>
              <w:rPr>
                <w:noProof/>
                <w:webHidden/>
              </w:rPr>
              <w:fldChar w:fldCharType="begin"/>
            </w:r>
            <w:r>
              <w:rPr>
                <w:noProof/>
                <w:webHidden/>
              </w:rPr>
              <w:instrText xml:space="preserve"> PAGEREF _Toc39495128 \h </w:instrText>
            </w:r>
            <w:r>
              <w:rPr>
                <w:noProof/>
                <w:webHidden/>
              </w:rPr>
            </w:r>
            <w:r>
              <w:rPr>
                <w:noProof/>
                <w:webHidden/>
              </w:rPr>
              <w:fldChar w:fldCharType="separate"/>
            </w:r>
            <w:r>
              <w:rPr>
                <w:noProof/>
                <w:webHidden/>
              </w:rPr>
              <w:t>1</w:t>
            </w:r>
            <w:r>
              <w:rPr>
                <w:noProof/>
                <w:webHidden/>
              </w:rPr>
              <w:fldChar w:fldCharType="end"/>
            </w:r>
          </w:hyperlink>
        </w:p>
        <w:p w14:paraId="5ABE4E06" w14:textId="77777777" w:rsidR="0013733A" w:rsidRDefault="0013733A">
          <w:pPr>
            <w:pStyle w:val="TOC1"/>
            <w:rPr>
              <w:rFonts w:asciiTheme="minorHAnsi" w:hAnsiTheme="minorHAnsi"/>
              <w:noProof/>
              <w:sz w:val="22"/>
              <w:szCs w:val="22"/>
            </w:rPr>
          </w:pPr>
          <w:hyperlink w:anchor="_Toc39495129" w:history="1">
            <w:r w:rsidRPr="00471E78">
              <w:rPr>
                <w:rStyle w:val="Hyperlink"/>
                <w:noProof/>
              </w:rPr>
              <w:t>Overview</w:t>
            </w:r>
            <w:r>
              <w:rPr>
                <w:noProof/>
                <w:webHidden/>
              </w:rPr>
              <w:tab/>
            </w:r>
            <w:r>
              <w:rPr>
                <w:noProof/>
                <w:webHidden/>
              </w:rPr>
              <w:fldChar w:fldCharType="begin"/>
            </w:r>
            <w:r>
              <w:rPr>
                <w:noProof/>
                <w:webHidden/>
              </w:rPr>
              <w:instrText xml:space="preserve"> PAGEREF _Toc39495129 \h </w:instrText>
            </w:r>
            <w:r>
              <w:rPr>
                <w:noProof/>
                <w:webHidden/>
              </w:rPr>
            </w:r>
            <w:r>
              <w:rPr>
                <w:noProof/>
                <w:webHidden/>
              </w:rPr>
              <w:fldChar w:fldCharType="separate"/>
            </w:r>
            <w:r>
              <w:rPr>
                <w:noProof/>
                <w:webHidden/>
              </w:rPr>
              <w:t>2</w:t>
            </w:r>
            <w:r>
              <w:rPr>
                <w:noProof/>
                <w:webHidden/>
              </w:rPr>
              <w:fldChar w:fldCharType="end"/>
            </w:r>
          </w:hyperlink>
        </w:p>
        <w:p w14:paraId="51C42322" w14:textId="77777777" w:rsidR="0013733A" w:rsidRDefault="0013733A">
          <w:pPr>
            <w:pStyle w:val="TOC1"/>
            <w:rPr>
              <w:rFonts w:asciiTheme="minorHAnsi" w:hAnsiTheme="minorHAnsi"/>
              <w:noProof/>
              <w:sz w:val="22"/>
              <w:szCs w:val="22"/>
            </w:rPr>
          </w:pPr>
          <w:hyperlink w:anchor="_Toc39495130" w:history="1">
            <w:r w:rsidRPr="00471E78">
              <w:rPr>
                <w:rStyle w:val="Hyperlink"/>
                <w:noProof/>
              </w:rPr>
              <w:t>Community Pathways COVID-19 Non-FPS Services</w:t>
            </w:r>
            <w:r>
              <w:rPr>
                <w:noProof/>
                <w:webHidden/>
              </w:rPr>
              <w:tab/>
            </w:r>
            <w:r>
              <w:rPr>
                <w:noProof/>
                <w:webHidden/>
              </w:rPr>
              <w:fldChar w:fldCharType="begin"/>
            </w:r>
            <w:r>
              <w:rPr>
                <w:noProof/>
                <w:webHidden/>
              </w:rPr>
              <w:instrText xml:space="preserve"> PAGEREF _Toc39495130 \h </w:instrText>
            </w:r>
            <w:r>
              <w:rPr>
                <w:noProof/>
                <w:webHidden/>
              </w:rPr>
            </w:r>
            <w:r>
              <w:rPr>
                <w:noProof/>
                <w:webHidden/>
              </w:rPr>
              <w:fldChar w:fldCharType="separate"/>
            </w:r>
            <w:r>
              <w:rPr>
                <w:noProof/>
                <w:webHidden/>
              </w:rPr>
              <w:t>2</w:t>
            </w:r>
            <w:r>
              <w:rPr>
                <w:noProof/>
                <w:webHidden/>
              </w:rPr>
              <w:fldChar w:fldCharType="end"/>
            </w:r>
          </w:hyperlink>
        </w:p>
        <w:p w14:paraId="6C84AFDB" w14:textId="77777777" w:rsidR="0013733A" w:rsidRDefault="0013733A">
          <w:pPr>
            <w:pStyle w:val="TOC1"/>
            <w:rPr>
              <w:rFonts w:asciiTheme="minorHAnsi" w:hAnsiTheme="minorHAnsi"/>
              <w:noProof/>
              <w:sz w:val="22"/>
              <w:szCs w:val="22"/>
            </w:rPr>
          </w:pPr>
          <w:hyperlink w:anchor="_Toc39495131" w:history="1">
            <w:r w:rsidRPr="00471E78">
              <w:rPr>
                <w:rStyle w:val="Hyperlink"/>
                <w:noProof/>
              </w:rPr>
              <w:t>Billing Prerequisites &amp; Requirements</w:t>
            </w:r>
            <w:r>
              <w:rPr>
                <w:noProof/>
                <w:webHidden/>
              </w:rPr>
              <w:tab/>
            </w:r>
            <w:r>
              <w:rPr>
                <w:noProof/>
                <w:webHidden/>
              </w:rPr>
              <w:fldChar w:fldCharType="begin"/>
            </w:r>
            <w:r>
              <w:rPr>
                <w:noProof/>
                <w:webHidden/>
              </w:rPr>
              <w:instrText xml:space="preserve"> PAGEREF _Toc39495131 \h </w:instrText>
            </w:r>
            <w:r>
              <w:rPr>
                <w:noProof/>
                <w:webHidden/>
              </w:rPr>
            </w:r>
            <w:r>
              <w:rPr>
                <w:noProof/>
                <w:webHidden/>
              </w:rPr>
              <w:fldChar w:fldCharType="separate"/>
            </w:r>
            <w:r>
              <w:rPr>
                <w:noProof/>
                <w:webHidden/>
              </w:rPr>
              <w:t>4</w:t>
            </w:r>
            <w:r>
              <w:rPr>
                <w:noProof/>
                <w:webHidden/>
              </w:rPr>
              <w:fldChar w:fldCharType="end"/>
            </w:r>
          </w:hyperlink>
        </w:p>
        <w:p w14:paraId="395B62F7" w14:textId="77777777" w:rsidR="0013733A" w:rsidRDefault="0013733A">
          <w:pPr>
            <w:pStyle w:val="TOC1"/>
            <w:rPr>
              <w:rFonts w:asciiTheme="minorHAnsi" w:hAnsiTheme="minorHAnsi"/>
              <w:noProof/>
              <w:sz w:val="22"/>
              <w:szCs w:val="22"/>
            </w:rPr>
          </w:pPr>
          <w:hyperlink w:anchor="_Toc39495132" w:history="1">
            <w:r w:rsidRPr="00471E78">
              <w:rPr>
                <w:rStyle w:val="Hyperlink"/>
                <w:noProof/>
              </w:rPr>
              <w:t>Invoicing Instructions</w:t>
            </w:r>
            <w:r>
              <w:rPr>
                <w:noProof/>
                <w:webHidden/>
              </w:rPr>
              <w:tab/>
            </w:r>
            <w:r>
              <w:rPr>
                <w:noProof/>
                <w:webHidden/>
              </w:rPr>
              <w:fldChar w:fldCharType="begin"/>
            </w:r>
            <w:r>
              <w:rPr>
                <w:noProof/>
                <w:webHidden/>
              </w:rPr>
              <w:instrText xml:space="preserve"> PAGEREF _Toc39495132 \h </w:instrText>
            </w:r>
            <w:r>
              <w:rPr>
                <w:noProof/>
                <w:webHidden/>
              </w:rPr>
            </w:r>
            <w:r>
              <w:rPr>
                <w:noProof/>
                <w:webHidden/>
              </w:rPr>
              <w:fldChar w:fldCharType="separate"/>
            </w:r>
            <w:r>
              <w:rPr>
                <w:noProof/>
                <w:webHidden/>
              </w:rPr>
              <w:t>5</w:t>
            </w:r>
            <w:r>
              <w:rPr>
                <w:noProof/>
                <w:webHidden/>
              </w:rPr>
              <w:fldChar w:fldCharType="end"/>
            </w:r>
          </w:hyperlink>
        </w:p>
        <w:p w14:paraId="01F061B2" w14:textId="77777777" w:rsidR="0013733A" w:rsidRDefault="0013733A">
          <w:pPr>
            <w:pStyle w:val="TOC2"/>
            <w:tabs>
              <w:tab w:val="right" w:leader="dot" w:pos="10070"/>
            </w:tabs>
            <w:rPr>
              <w:rFonts w:asciiTheme="minorHAnsi" w:hAnsiTheme="minorHAnsi"/>
              <w:noProof/>
              <w:sz w:val="22"/>
              <w:szCs w:val="22"/>
            </w:rPr>
          </w:pPr>
          <w:hyperlink w:anchor="_Toc39495133" w:history="1">
            <w:r w:rsidRPr="00471E78">
              <w:rPr>
                <w:rStyle w:val="Hyperlink"/>
                <w:rFonts w:ascii="Georgia" w:hAnsi="Georgia"/>
                <w:noProof/>
              </w:rPr>
              <w:t>Frequency and Timing</w:t>
            </w:r>
            <w:r>
              <w:rPr>
                <w:noProof/>
                <w:webHidden/>
              </w:rPr>
              <w:tab/>
            </w:r>
            <w:r>
              <w:rPr>
                <w:noProof/>
                <w:webHidden/>
              </w:rPr>
              <w:fldChar w:fldCharType="begin"/>
            </w:r>
            <w:r>
              <w:rPr>
                <w:noProof/>
                <w:webHidden/>
              </w:rPr>
              <w:instrText xml:space="preserve"> PAGEREF _Toc39495133 \h </w:instrText>
            </w:r>
            <w:r>
              <w:rPr>
                <w:noProof/>
                <w:webHidden/>
              </w:rPr>
            </w:r>
            <w:r>
              <w:rPr>
                <w:noProof/>
                <w:webHidden/>
              </w:rPr>
              <w:fldChar w:fldCharType="separate"/>
            </w:r>
            <w:r>
              <w:rPr>
                <w:noProof/>
                <w:webHidden/>
              </w:rPr>
              <w:t>5</w:t>
            </w:r>
            <w:r>
              <w:rPr>
                <w:noProof/>
                <w:webHidden/>
              </w:rPr>
              <w:fldChar w:fldCharType="end"/>
            </w:r>
          </w:hyperlink>
        </w:p>
        <w:p w14:paraId="7DE09378" w14:textId="77777777" w:rsidR="0013733A" w:rsidRDefault="0013733A">
          <w:pPr>
            <w:pStyle w:val="TOC2"/>
            <w:tabs>
              <w:tab w:val="right" w:leader="dot" w:pos="10070"/>
            </w:tabs>
            <w:rPr>
              <w:rFonts w:asciiTheme="minorHAnsi" w:hAnsiTheme="minorHAnsi"/>
              <w:noProof/>
              <w:sz w:val="22"/>
              <w:szCs w:val="22"/>
            </w:rPr>
          </w:pPr>
          <w:hyperlink w:anchor="_Toc39495134" w:history="1">
            <w:r w:rsidRPr="00471E78">
              <w:rPr>
                <w:rStyle w:val="Hyperlink"/>
                <w:rFonts w:ascii="Georgia" w:hAnsi="Georgia"/>
                <w:noProof/>
              </w:rPr>
              <w:t>Invoicing Submission Requirements</w:t>
            </w:r>
            <w:r>
              <w:rPr>
                <w:noProof/>
                <w:webHidden/>
              </w:rPr>
              <w:tab/>
            </w:r>
            <w:r>
              <w:rPr>
                <w:noProof/>
                <w:webHidden/>
              </w:rPr>
              <w:fldChar w:fldCharType="begin"/>
            </w:r>
            <w:r>
              <w:rPr>
                <w:noProof/>
                <w:webHidden/>
              </w:rPr>
              <w:instrText xml:space="preserve"> PAGEREF _Toc39495134 \h </w:instrText>
            </w:r>
            <w:r>
              <w:rPr>
                <w:noProof/>
                <w:webHidden/>
              </w:rPr>
            </w:r>
            <w:r>
              <w:rPr>
                <w:noProof/>
                <w:webHidden/>
              </w:rPr>
              <w:fldChar w:fldCharType="separate"/>
            </w:r>
            <w:r>
              <w:rPr>
                <w:noProof/>
                <w:webHidden/>
              </w:rPr>
              <w:t>5</w:t>
            </w:r>
            <w:r>
              <w:rPr>
                <w:noProof/>
                <w:webHidden/>
              </w:rPr>
              <w:fldChar w:fldCharType="end"/>
            </w:r>
          </w:hyperlink>
        </w:p>
        <w:p w14:paraId="2B867070" w14:textId="77777777" w:rsidR="0013733A" w:rsidRDefault="0013733A">
          <w:pPr>
            <w:pStyle w:val="TOC3"/>
            <w:rPr>
              <w:rFonts w:asciiTheme="minorHAnsi" w:hAnsiTheme="minorHAnsi"/>
              <w:noProof/>
              <w:sz w:val="22"/>
              <w:szCs w:val="22"/>
            </w:rPr>
          </w:pPr>
          <w:hyperlink w:anchor="_Toc39495135" w:history="1">
            <w:r w:rsidRPr="00471E78">
              <w:rPr>
                <w:rStyle w:val="Hyperlink"/>
                <w:rFonts w:ascii="Georgia" w:hAnsi="Georgia"/>
                <w:noProof/>
              </w:rPr>
              <w:t>Tab A: Cover Page</w:t>
            </w:r>
            <w:r>
              <w:rPr>
                <w:noProof/>
                <w:webHidden/>
              </w:rPr>
              <w:tab/>
            </w:r>
            <w:r>
              <w:rPr>
                <w:noProof/>
                <w:webHidden/>
              </w:rPr>
              <w:fldChar w:fldCharType="begin"/>
            </w:r>
            <w:r>
              <w:rPr>
                <w:noProof/>
                <w:webHidden/>
              </w:rPr>
              <w:instrText xml:space="preserve"> PAGEREF _Toc39495135 \h </w:instrText>
            </w:r>
            <w:r>
              <w:rPr>
                <w:noProof/>
                <w:webHidden/>
              </w:rPr>
            </w:r>
            <w:r>
              <w:rPr>
                <w:noProof/>
                <w:webHidden/>
              </w:rPr>
              <w:fldChar w:fldCharType="separate"/>
            </w:r>
            <w:r>
              <w:rPr>
                <w:noProof/>
                <w:webHidden/>
              </w:rPr>
              <w:t>6</w:t>
            </w:r>
            <w:r>
              <w:rPr>
                <w:noProof/>
                <w:webHidden/>
              </w:rPr>
              <w:fldChar w:fldCharType="end"/>
            </w:r>
          </w:hyperlink>
        </w:p>
        <w:p w14:paraId="5F943D3F" w14:textId="77777777" w:rsidR="0013733A" w:rsidRDefault="0013733A">
          <w:pPr>
            <w:pStyle w:val="TOC3"/>
            <w:rPr>
              <w:rFonts w:asciiTheme="minorHAnsi" w:hAnsiTheme="minorHAnsi"/>
              <w:noProof/>
              <w:sz w:val="22"/>
              <w:szCs w:val="22"/>
            </w:rPr>
          </w:pPr>
          <w:hyperlink w:anchor="_Toc39495136" w:history="1">
            <w:r w:rsidRPr="00471E78">
              <w:rPr>
                <w:rStyle w:val="Hyperlink"/>
                <w:rFonts w:ascii="Georgia" w:hAnsi="Georgia"/>
                <w:noProof/>
              </w:rPr>
              <w:t>Tab B: Consumer Budget</w:t>
            </w:r>
            <w:r>
              <w:rPr>
                <w:noProof/>
                <w:webHidden/>
              </w:rPr>
              <w:tab/>
            </w:r>
            <w:r>
              <w:rPr>
                <w:noProof/>
                <w:webHidden/>
              </w:rPr>
              <w:fldChar w:fldCharType="begin"/>
            </w:r>
            <w:r>
              <w:rPr>
                <w:noProof/>
                <w:webHidden/>
              </w:rPr>
              <w:instrText xml:space="preserve"> PAGEREF _Toc39495136 \h </w:instrText>
            </w:r>
            <w:r>
              <w:rPr>
                <w:noProof/>
                <w:webHidden/>
              </w:rPr>
            </w:r>
            <w:r>
              <w:rPr>
                <w:noProof/>
                <w:webHidden/>
              </w:rPr>
              <w:fldChar w:fldCharType="separate"/>
            </w:r>
            <w:r>
              <w:rPr>
                <w:noProof/>
                <w:webHidden/>
              </w:rPr>
              <w:t>6</w:t>
            </w:r>
            <w:r>
              <w:rPr>
                <w:noProof/>
                <w:webHidden/>
              </w:rPr>
              <w:fldChar w:fldCharType="end"/>
            </w:r>
          </w:hyperlink>
        </w:p>
        <w:p w14:paraId="54FE7B71" w14:textId="77777777" w:rsidR="0013733A" w:rsidRDefault="0013733A">
          <w:pPr>
            <w:pStyle w:val="TOC3"/>
            <w:rPr>
              <w:rFonts w:asciiTheme="minorHAnsi" w:hAnsiTheme="minorHAnsi"/>
              <w:noProof/>
              <w:sz w:val="22"/>
              <w:szCs w:val="22"/>
            </w:rPr>
          </w:pPr>
          <w:hyperlink w:anchor="_Toc39495137" w:history="1">
            <w:r w:rsidRPr="00471E78">
              <w:rPr>
                <w:rStyle w:val="Hyperlink"/>
                <w:rFonts w:ascii="Georgia" w:hAnsi="Georgia"/>
                <w:noProof/>
              </w:rPr>
              <w:t>Tab C: Consumer Service Detail</w:t>
            </w:r>
            <w:r>
              <w:rPr>
                <w:noProof/>
                <w:webHidden/>
              </w:rPr>
              <w:tab/>
            </w:r>
            <w:r>
              <w:rPr>
                <w:noProof/>
                <w:webHidden/>
              </w:rPr>
              <w:fldChar w:fldCharType="begin"/>
            </w:r>
            <w:r>
              <w:rPr>
                <w:noProof/>
                <w:webHidden/>
              </w:rPr>
              <w:instrText xml:space="preserve"> PAGEREF _Toc39495137 \h </w:instrText>
            </w:r>
            <w:r>
              <w:rPr>
                <w:noProof/>
                <w:webHidden/>
              </w:rPr>
            </w:r>
            <w:r>
              <w:rPr>
                <w:noProof/>
                <w:webHidden/>
              </w:rPr>
              <w:fldChar w:fldCharType="separate"/>
            </w:r>
            <w:r>
              <w:rPr>
                <w:noProof/>
                <w:webHidden/>
              </w:rPr>
              <w:t>7</w:t>
            </w:r>
            <w:r>
              <w:rPr>
                <w:noProof/>
                <w:webHidden/>
              </w:rPr>
              <w:fldChar w:fldCharType="end"/>
            </w:r>
          </w:hyperlink>
        </w:p>
        <w:p w14:paraId="41D28AEC" w14:textId="77777777" w:rsidR="0013733A" w:rsidRDefault="0013733A">
          <w:pPr>
            <w:pStyle w:val="TOC1"/>
            <w:rPr>
              <w:rFonts w:asciiTheme="minorHAnsi" w:hAnsiTheme="minorHAnsi"/>
              <w:noProof/>
              <w:sz w:val="22"/>
              <w:szCs w:val="22"/>
            </w:rPr>
          </w:pPr>
          <w:hyperlink w:anchor="_Toc39495138" w:history="1">
            <w:r w:rsidRPr="00471E78">
              <w:rPr>
                <w:rStyle w:val="Hyperlink"/>
                <w:noProof/>
              </w:rPr>
              <w:t>COVID-19 Non-FPS Services Medicaid Claims Submission</w:t>
            </w:r>
            <w:r>
              <w:rPr>
                <w:noProof/>
                <w:webHidden/>
              </w:rPr>
              <w:tab/>
            </w:r>
            <w:r>
              <w:rPr>
                <w:noProof/>
                <w:webHidden/>
              </w:rPr>
              <w:fldChar w:fldCharType="begin"/>
            </w:r>
            <w:r>
              <w:rPr>
                <w:noProof/>
                <w:webHidden/>
              </w:rPr>
              <w:instrText xml:space="preserve"> PAGEREF _Toc39495138 \h </w:instrText>
            </w:r>
            <w:r>
              <w:rPr>
                <w:noProof/>
                <w:webHidden/>
              </w:rPr>
            </w:r>
            <w:r>
              <w:rPr>
                <w:noProof/>
                <w:webHidden/>
              </w:rPr>
              <w:fldChar w:fldCharType="separate"/>
            </w:r>
            <w:r>
              <w:rPr>
                <w:noProof/>
                <w:webHidden/>
              </w:rPr>
              <w:t>8</w:t>
            </w:r>
            <w:r>
              <w:rPr>
                <w:noProof/>
                <w:webHidden/>
              </w:rPr>
              <w:fldChar w:fldCharType="end"/>
            </w:r>
          </w:hyperlink>
        </w:p>
        <w:p w14:paraId="452856A7" w14:textId="77777777" w:rsidR="0013733A" w:rsidRDefault="0013733A">
          <w:pPr>
            <w:pStyle w:val="TOC2"/>
            <w:tabs>
              <w:tab w:val="right" w:leader="dot" w:pos="10070"/>
            </w:tabs>
            <w:rPr>
              <w:rFonts w:asciiTheme="minorHAnsi" w:hAnsiTheme="minorHAnsi"/>
              <w:noProof/>
              <w:sz w:val="22"/>
              <w:szCs w:val="22"/>
            </w:rPr>
          </w:pPr>
          <w:hyperlink w:anchor="_Toc39495139" w:history="1">
            <w:r w:rsidRPr="00471E78">
              <w:rPr>
                <w:rStyle w:val="Hyperlink"/>
                <w:rFonts w:ascii="Georgia" w:hAnsi="Georgia"/>
                <w:noProof/>
              </w:rPr>
              <w:t>Paper Billing</w:t>
            </w:r>
            <w:r>
              <w:rPr>
                <w:noProof/>
                <w:webHidden/>
              </w:rPr>
              <w:tab/>
            </w:r>
            <w:r>
              <w:rPr>
                <w:noProof/>
                <w:webHidden/>
              </w:rPr>
              <w:fldChar w:fldCharType="begin"/>
            </w:r>
            <w:r>
              <w:rPr>
                <w:noProof/>
                <w:webHidden/>
              </w:rPr>
              <w:instrText xml:space="preserve"> PAGEREF _Toc39495139 \h </w:instrText>
            </w:r>
            <w:r>
              <w:rPr>
                <w:noProof/>
                <w:webHidden/>
              </w:rPr>
            </w:r>
            <w:r>
              <w:rPr>
                <w:noProof/>
                <w:webHidden/>
              </w:rPr>
              <w:fldChar w:fldCharType="separate"/>
            </w:r>
            <w:r>
              <w:rPr>
                <w:noProof/>
                <w:webHidden/>
              </w:rPr>
              <w:t>8</w:t>
            </w:r>
            <w:r>
              <w:rPr>
                <w:noProof/>
                <w:webHidden/>
              </w:rPr>
              <w:fldChar w:fldCharType="end"/>
            </w:r>
          </w:hyperlink>
        </w:p>
        <w:p w14:paraId="4AEEDB6B" w14:textId="7CDF0153" w:rsidR="00325C1B" w:rsidRPr="00D245C9" w:rsidRDefault="00325C1B" w:rsidP="00325C1B">
          <w:pPr>
            <w:contextualSpacing/>
            <w:rPr>
              <w:rFonts w:cs="Times New Roman"/>
              <w:b/>
              <w:bCs/>
              <w:noProof/>
            </w:rPr>
          </w:pPr>
          <w:r w:rsidRPr="00D245C9">
            <w:rPr>
              <w:rFonts w:cs="Times New Roman"/>
              <w:b/>
              <w:bCs/>
              <w:noProof/>
            </w:rPr>
            <w:fldChar w:fldCharType="end"/>
          </w:r>
        </w:p>
      </w:sdtContent>
    </w:sdt>
    <w:p w14:paraId="48646EF0" w14:textId="0EE22F09" w:rsidR="00325C1B" w:rsidRDefault="00035BF1" w:rsidP="00325C1B">
      <w:pPr>
        <w:pStyle w:val="Heading1"/>
      </w:pPr>
      <w:r>
        <w:t xml:space="preserve">   </w:t>
      </w:r>
      <w:bookmarkStart w:id="2" w:name="_Toc39495127"/>
      <w:r w:rsidR="00325C1B">
        <w:t>Audien</w:t>
      </w:r>
      <w:r w:rsidR="00325C1B" w:rsidRPr="000D0EE8">
        <w:t>c</w:t>
      </w:r>
      <w:r w:rsidR="00325C1B">
        <w:t>e</w:t>
      </w:r>
      <w:bookmarkEnd w:id="2"/>
      <w:r w:rsidR="00325C1B">
        <w:tab/>
      </w:r>
    </w:p>
    <w:p w14:paraId="5000C993" w14:textId="305D05DD" w:rsidR="00325C1B" w:rsidRDefault="00B10FC2" w:rsidP="00325C1B">
      <w:r>
        <w:br/>
      </w:r>
      <w:r w:rsidR="00325C1B">
        <w:t>DDA Community Pathways Providers</w:t>
      </w:r>
    </w:p>
    <w:p w14:paraId="4941E4D1" w14:textId="61358922" w:rsidR="00325C1B" w:rsidRPr="0017174A" w:rsidRDefault="00325C1B" w:rsidP="00D61DB3">
      <w:pPr>
        <w:pStyle w:val="Heading1"/>
      </w:pPr>
      <w:bookmarkStart w:id="3" w:name="_Toc39495128"/>
      <w:r>
        <w:t>Purpose</w:t>
      </w:r>
      <w:bookmarkEnd w:id="3"/>
    </w:p>
    <w:p w14:paraId="6E5D0457" w14:textId="3003F15D" w:rsidR="00E4549B" w:rsidRDefault="00B10FC2" w:rsidP="00325C1B">
      <w:r>
        <w:br/>
      </w:r>
      <w:r w:rsidR="000D0EE8">
        <w:t>To</w:t>
      </w:r>
      <w:r w:rsidR="009A43DF">
        <w:t xml:space="preserve"> update the </w:t>
      </w:r>
      <w:r w:rsidR="008005EC">
        <w:t>FY20</w:t>
      </w:r>
      <w:r w:rsidR="00992726">
        <w:t xml:space="preserve"> </w:t>
      </w:r>
      <w:r w:rsidR="00325C1B">
        <w:t>DDA Community Pathway</w:t>
      </w:r>
      <w:r w:rsidR="00FF2DE2">
        <w:t>’</w:t>
      </w:r>
      <w:r w:rsidR="00325C1B">
        <w:t>s Waiver</w:t>
      </w:r>
      <w:r w:rsidR="000D0EE8">
        <w:t xml:space="preserve"> Non-FPS</w:t>
      </w:r>
      <w:r w:rsidR="00E4549B">
        <w:t xml:space="preserve"> Services</w:t>
      </w:r>
      <w:r w:rsidR="009A43DF">
        <w:t xml:space="preserve"> invoice</w:t>
      </w:r>
      <w:r w:rsidR="00E4549B">
        <w:t xml:space="preserve"> </w:t>
      </w:r>
      <w:r w:rsidR="00076104">
        <w:t>instructions to</w:t>
      </w:r>
      <w:r w:rsidR="007D41AB">
        <w:t xml:space="preserve"> include guidance to bill </w:t>
      </w:r>
      <w:r w:rsidR="00192B2C">
        <w:t>for eligible</w:t>
      </w:r>
      <w:r w:rsidR="00513F4B">
        <w:t xml:space="preserve"> Non-FPS </w:t>
      </w:r>
      <w:r w:rsidR="00E4549B">
        <w:t>COVID</w:t>
      </w:r>
      <w:r w:rsidR="00076104">
        <w:t>-</w:t>
      </w:r>
      <w:r w:rsidR="00E4549B">
        <w:t>19 related costs</w:t>
      </w:r>
      <w:r w:rsidR="007D41AB">
        <w:t xml:space="preserve"> and additional authorizations for current services</w:t>
      </w:r>
      <w:r w:rsidR="00E4549B">
        <w:t xml:space="preserve">. </w:t>
      </w:r>
    </w:p>
    <w:p w14:paraId="320A95F1" w14:textId="77777777" w:rsidR="00642173" w:rsidRDefault="00642173" w:rsidP="00325C1B"/>
    <w:p w14:paraId="5B26FBEA" w14:textId="77777777" w:rsidR="00642173" w:rsidRPr="000619AE" w:rsidRDefault="00642173" w:rsidP="00325C1B"/>
    <w:p w14:paraId="4D8D80F6" w14:textId="71C455CB" w:rsidR="00325C1B" w:rsidRDefault="00325C1B" w:rsidP="00325C1B">
      <w:pPr>
        <w:pStyle w:val="Heading1"/>
      </w:pPr>
      <w:bookmarkStart w:id="4" w:name="_Toc39495129"/>
      <w:r>
        <w:lastRenderedPageBreak/>
        <w:t>Overview</w:t>
      </w:r>
      <w:bookmarkEnd w:id="4"/>
    </w:p>
    <w:p w14:paraId="27438B26" w14:textId="77777777" w:rsidR="008C76D5" w:rsidRDefault="008C76D5" w:rsidP="00076104">
      <w:pPr>
        <w:spacing w:after="160"/>
        <w:rPr>
          <w:rFonts w:eastAsia="Times New Roman" w:cs="Times New Roman"/>
          <w:color w:val="000000"/>
        </w:rPr>
      </w:pPr>
    </w:p>
    <w:p w14:paraId="5F4124D9" w14:textId="4EB5B616" w:rsidR="00076104" w:rsidRPr="00076104" w:rsidRDefault="000C42DE" w:rsidP="00076104">
      <w:pPr>
        <w:spacing w:after="160"/>
        <w:rPr>
          <w:rFonts w:eastAsia="Times New Roman" w:cs="Times New Roman"/>
        </w:rPr>
      </w:pPr>
      <w:r>
        <w:rPr>
          <w:rFonts w:eastAsia="Times New Roman" w:cs="Times New Roman"/>
          <w:color w:val="000000"/>
        </w:rPr>
        <w:t xml:space="preserve">These instructions have been updated to </w:t>
      </w:r>
      <w:r w:rsidR="00767402">
        <w:rPr>
          <w:rFonts w:eastAsia="Times New Roman" w:cs="Times New Roman"/>
          <w:color w:val="000000"/>
        </w:rPr>
        <w:t>accommodate</w:t>
      </w:r>
      <w:r w:rsidR="00076104" w:rsidRPr="00076104">
        <w:rPr>
          <w:rFonts w:eastAsia="Times New Roman" w:cs="Times New Roman"/>
          <w:color w:val="000000"/>
        </w:rPr>
        <w:t xml:space="preserve"> </w:t>
      </w:r>
      <w:r w:rsidR="00647FDE">
        <w:rPr>
          <w:rFonts w:eastAsia="Times New Roman" w:cs="Times New Roman"/>
          <w:color w:val="000000"/>
        </w:rPr>
        <w:t xml:space="preserve">billing for </w:t>
      </w:r>
      <w:r w:rsidR="00076104" w:rsidRPr="00076104">
        <w:rPr>
          <w:rFonts w:eastAsia="Times New Roman" w:cs="Times New Roman"/>
          <w:color w:val="000000"/>
        </w:rPr>
        <w:t>temporary modifications to DDA’s Waiver programs set forth in Appendix K, submitted to and approved by the Centers for Medicare and Medicaid Services, and DDA State Funded services to address the State of Emergency</w:t>
      </w:r>
      <w:r>
        <w:rPr>
          <w:rFonts w:eastAsia="Times New Roman" w:cs="Times New Roman"/>
          <w:color w:val="000000"/>
        </w:rPr>
        <w:t xml:space="preserve"> for the COVID-19 pandemic</w:t>
      </w:r>
      <w:r w:rsidR="00513F4B">
        <w:rPr>
          <w:rFonts w:eastAsia="Times New Roman" w:cs="Times New Roman"/>
          <w:color w:val="000000"/>
        </w:rPr>
        <w:t xml:space="preserve"> beginning March 13, 2020</w:t>
      </w:r>
      <w:r w:rsidR="00076104" w:rsidRPr="00076104">
        <w:rPr>
          <w:rFonts w:eastAsia="Times New Roman" w:cs="Times New Roman"/>
          <w:color w:val="000000"/>
        </w:rPr>
        <w:t xml:space="preserve">.  </w:t>
      </w:r>
    </w:p>
    <w:p w14:paraId="47206E3B" w14:textId="77777777" w:rsidR="000C42DE" w:rsidRDefault="00076104" w:rsidP="00B771B5">
      <w:pPr>
        <w:shd w:val="clear" w:color="auto" w:fill="FFFFFF"/>
        <w:spacing w:before="100" w:beforeAutospacing="1" w:after="100" w:afterAutospacing="1"/>
        <w:rPr>
          <w:color w:val="000000"/>
        </w:rPr>
      </w:pPr>
      <w:r>
        <w:rPr>
          <w:color w:val="000000"/>
        </w:rPr>
        <w:t>To support the health, safety, and wellbeing of participants and providers, the DDA is implementing temporary service requirements exceptions and</w:t>
      </w:r>
      <w:r w:rsidR="000C42DE">
        <w:rPr>
          <w:color w:val="000000"/>
        </w:rPr>
        <w:t xml:space="preserve"> operational changes including </w:t>
      </w:r>
      <w:r>
        <w:rPr>
          <w:color w:val="000000"/>
        </w:rPr>
        <w:t>flexibilities related to financial support, settings, and staffing.</w:t>
      </w:r>
      <w:r w:rsidR="000C42DE">
        <w:rPr>
          <w:color w:val="000000"/>
        </w:rPr>
        <w:t xml:space="preserve"> </w:t>
      </w:r>
    </w:p>
    <w:p w14:paraId="24DD868B" w14:textId="4FC7C1E0" w:rsidR="00647FDE" w:rsidRDefault="00647FDE" w:rsidP="00A14207">
      <w:pPr>
        <w:pStyle w:val="NormalWeb"/>
        <w:spacing w:before="0" w:beforeAutospacing="0" w:after="160" w:afterAutospacing="0"/>
        <w:rPr>
          <w:color w:val="000000"/>
        </w:rPr>
      </w:pPr>
      <w:r>
        <w:rPr>
          <w:color w:val="000000"/>
        </w:rPr>
        <w:t>Therefore, there is a need for providers to be able to bill for</w:t>
      </w:r>
      <w:r w:rsidRPr="00767402">
        <w:rPr>
          <w:color w:val="000000"/>
        </w:rPr>
        <w:t xml:space="preserve"> </w:t>
      </w:r>
      <w:r>
        <w:rPr>
          <w:color w:val="000000"/>
        </w:rPr>
        <w:t xml:space="preserve">eligible </w:t>
      </w:r>
      <w:r w:rsidR="00281D0E">
        <w:rPr>
          <w:color w:val="000000"/>
        </w:rPr>
        <w:t>Community Pathways</w:t>
      </w:r>
      <w:r w:rsidR="001B3299">
        <w:rPr>
          <w:color w:val="000000"/>
        </w:rPr>
        <w:t xml:space="preserve"> </w:t>
      </w:r>
      <w:r>
        <w:rPr>
          <w:color w:val="000000"/>
        </w:rPr>
        <w:t>Non-FPS COVID-19 related costs for services currently billed using this invoicing process and for Shared Living provide</w:t>
      </w:r>
      <w:r w:rsidR="008C76D5">
        <w:rPr>
          <w:color w:val="000000"/>
        </w:rPr>
        <w:t xml:space="preserve">rs to be able to bill for isolation days. </w:t>
      </w:r>
    </w:p>
    <w:p w14:paraId="3D658FDB" w14:textId="087F541D" w:rsidR="001B3299" w:rsidRPr="00A14207" w:rsidRDefault="001B3299" w:rsidP="0049563C">
      <w:pPr>
        <w:shd w:val="clear" w:color="auto" w:fill="FFFFFF"/>
        <w:spacing w:before="100" w:beforeAutospacing="1" w:after="100" w:afterAutospacing="1"/>
        <w:rPr>
          <w:rFonts w:eastAsia="Times New Roman" w:cs="Times New Roman"/>
          <w:color w:val="333333"/>
        </w:rPr>
      </w:pPr>
      <w:r>
        <w:t xml:space="preserve">For the COVID-19 services in the Family Supports Waiver and Community Supports Waiver, providers will follow the same invoicing process in PCIS2 for payment. Additionally, any additional or new authorized Behavioral Support Services will be billed using the current invoicing process for those services. To receive payment for services rendered for FY20 dates of service for all other CPW Non-FPS services and COVID-19 services, providers will submit invoices and federal billing claims to the Regional Offices for approval and processing and will continue to enter attendance in PCIS2 for the FPS services. </w:t>
      </w:r>
    </w:p>
    <w:p w14:paraId="58ED4E89" w14:textId="0550D16F" w:rsidR="00192B2C" w:rsidRDefault="00192B2C" w:rsidP="00B771B5">
      <w:pPr>
        <w:shd w:val="clear" w:color="auto" w:fill="FFFFFF"/>
        <w:spacing w:before="100" w:beforeAutospacing="1" w:after="100" w:afterAutospacing="1"/>
        <w:rPr>
          <w:color w:val="000000"/>
        </w:rPr>
      </w:pPr>
      <w:r>
        <w:rPr>
          <w:rFonts w:eastAsia="Times New Roman" w:cs="Times New Roman"/>
          <w:color w:val="333333"/>
        </w:rPr>
        <w:t xml:space="preserve">Comprehensive </w:t>
      </w:r>
      <w:r w:rsidR="001B3299">
        <w:rPr>
          <w:rFonts w:eastAsia="Times New Roman" w:cs="Times New Roman"/>
          <w:color w:val="333333"/>
        </w:rPr>
        <w:t>gui</w:t>
      </w:r>
      <w:r w:rsidR="006B2352">
        <w:rPr>
          <w:rFonts w:eastAsia="Times New Roman" w:cs="Times New Roman"/>
          <w:color w:val="333333"/>
        </w:rPr>
        <w:t xml:space="preserve">dance </w:t>
      </w:r>
      <w:r w:rsidR="00647FDE">
        <w:rPr>
          <w:rFonts w:eastAsia="Times New Roman" w:cs="Times New Roman"/>
          <w:color w:val="333333"/>
        </w:rPr>
        <w:t xml:space="preserve">regarding the </w:t>
      </w:r>
      <w:r w:rsidR="0029579E">
        <w:rPr>
          <w:rFonts w:eastAsia="Times New Roman" w:cs="Times New Roman"/>
          <w:color w:val="333333"/>
        </w:rPr>
        <w:t xml:space="preserve">Appendix K </w:t>
      </w:r>
      <w:r w:rsidR="00647FDE">
        <w:rPr>
          <w:rFonts w:eastAsia="Times New Roman" w:cs="Times New Roman"/>
          <w:color w:val="333333"/>
        </w:rPr>
        <w:t xml:space="preserve">changes and billing for services </w:t>
      </w:r>
      <w:r>
        <w:rPr>
          <w:rFonts w:eastAsia="Times New Roman" w:cs="Times New Roman"/>
          <w:color w:val="333333"/>
        </w:rPr>
        <w:t xml:space="preserve">can be found in </w:t>
      </w:r>
      <w:r w:rsidR="00C2173C">
        <w:rPr>
          <w:rFonts w:eastAsia="Times New Roman" w:cs="Times New Roman"/>
          <w:color w:val="333333"/>
        </w:rPr>
        <w:t xml:space="preserve">the </w:t>
      </w:r>
      <w:r w:rsidR="00F46B52">
        <w:rPr>
          <w:rFonts w:eastAsia="Times New Roman" w:cs="Times New Roman"/>
          <w:color w:val="333333"/>
        </w:rPr>
        <w:t>guidance documents posted</w:t>
      </w:r>
      <w:r w:rsidR="00C2173C">
        <w:rPr>
          <w:rFonts w:eastAsia="Times New Roman" w:cs="Times New Roman"/>
          <w:color w:val="333333"/>
        </w:rPr>
        <w:t xml:space="preserve"> on </w:t>
      </w:r>
      <w:r>
        <w:rPr>
          <w:rFonts w:eastAsia="Times New Roman" w:cs="Times New Roman"/>
          <w:color w:val="333333"/>
        </w:rPr>
        <w:t>DDA’</w:t>
      </w:r>
      <w:r w:rsidR="00C2173C">
        <w:rPr>
          <w:rFonts w:eastAsia="Times New Roman" w:cs="Times New Roman"/>
          <w:color w:val="333333"/>
        </w:rPr>
        <w:t xml:space="preserve">s </w:t>
      </w:r>
      <w:r>
        <w:rPr>
          <w:rFonts w:eastAsia="Times New Roman" w:cs="Times New Roman"/>
          <w:color w:val="333333"/>
        </w:rPr>
        <w:t>website</w:t>
      </w:r>
      <w:r w:rsidR="00C2173C">
        <w:rPr>
          <w:rFonts w:eastAsia="Times New Roman" w:cs="Times New Roman"/>
          <w:color w:val="333333"/>
        </w:rPr>
        <w:t xml:space="preserve">: </w:t>
      </w:r>
      <w:hyperlink r:id="rId15" w:history="1">
        <w:r w:rsidR="00515DD0" w:rsidRPr="00515DD0">
          <w:rPr>
            <w:color w:val="0000FF"/>
            <w:u w:val="single"/>
          </w:rPr>
          <w:t>https://dda.health.maryland.gov/Pages/DDA_Appendix_K.aspx</w:t>
        </w:r>
      </w:hyperlink>
      <w:r w:rsidR="00515DD0">
        <w:t>.</w:t>
      </w:r>
    </w:p>
    <w:p w14:paraId="76A29CDB" w14:textId="0C256AB7" w:rsidR="00325C1B" w:rsidRDefault="00CA5344" w:rsidP="00325C1B">
      <w:pPr>
        <w:pStyle w:val="Heading1"/>
      </w:pPr>
      <w:bookmarkStart w:id="5" w:name="_Toc39495130"/>
      <w:r>
        <w:t>Community Pathways COV</w:t>
      </w:r>
      <w:r w:rsidR="00BB1845">
        <w:t>ID-19</w:t>
      </w:r>
      <w:r w:rsidR="00FF2DE2">
        <w:t xml:space="preserve"> Non-FPS</w:t>
      </w:r>
      <w:r w:rsidR="00D245C9">
        <w:t xml:space="preserve"> Services</w:t>
      </w:r>
      <w:bookmarkEnd w:id="5"/>
    </w:p>
    <w:p w14:paraId="6954EDBC" w14:textId="77777777" w:rsidR="00BB1845" w:rsidRDefault="00BB1845" w:rsidP="00BB1845">
      <w:pPr>
        <w:shd w:val="clear" w:color="auto" w:fill="FFFFFF"/>
        <w:spacing w:before="100" w:beforeAutospacing="1" w:after="100" w:afterAutospacing="1"/>
        <w:rPr>
          <w:color w:val="000000"/>
        </w:rPr>
      </w:pPr>
      <w:r>
        <w:rPr>
          <w:color w:val="000000"/>
        </w:rPr>
        <w:t>The service flexibilities and financial supports that will be paid using this form are noted below:</w:t>
      </w:r>
    </w:p>
    <w:p w14:paraId="7A3147AB" w14:textId="77777777" w:rsidR="00BB1845" w:rsidRPr="00A14207" w:rsidRDefault="00BB1845" w:rsidP="00A14207">
      <w:pPr>
        <w:pStyle w:val="ListParagraph"/>
        <w:numPr>
          <w:ilvl w:val="0"/>
          <w:numId w:val="35"/>
        </w:numPr>
        <w:rPr>
          <w:b/>
          <w:sz w:val="24"/>
          <w:szCs w:val="24"/>
          <w:u w:val="single"/>
        </w:rPr>
      </w:pPr>
      <w:r w:rsidRPr="00A14207">
        <w:rPr>
          <w:b/>
          <w:sz w:val="24"/>
          <w:szCs w:val="24"/>
          <w:u w:val="single"/>
        </w:rPr>
        <w:t>Retainer Payment (Supported Living)</w:t>
      </w:r>
    </w:p>
    <w:p w14:paraId="4F976D6C" w14:textId="0C28B14B" w:rsidR="00BB1845" w:rsidRDefault="00BB1845" w:rsidP="00BB1845">
      <w:pPr>
        <w:pStyle w:val="NormalWeb"/>
        <w:spacing w:before="0" w:beforeAutospacing="0" w:after="160" w:afterAutospacing="0"/>
        <w:rPr>
          <w:rFonts w:eastAsia="Times New Roman"/>
          <w:color w:val="000000"/>
        </w:rPr>
      </w:pPr>
      <w:r>
        <w:rPr>
          <w:color w:val="000000"/>
        </w:rPr>
        <w:t>During the COVID-19 epidemic, some participants may choose to stay with their families or may be supported in other systems (e.g. hospitals, nursing facilities, etc.)</w:t>
      </w:r>
      <w:r w:rsidRPr="00835A58">
        <w:rPr>
          <w:rFonts w:eastAsia="Times New Roman"/>
          <w:color w:val="000000"/>
        </w:rPr>
        <w:t xml:space="preserve"> </w:t>
      </w:r>
      <w:r>
        <w:rPr>
          <w:rFonts w:eastAsia="Times New Roman"/>
          <w:color w:val="000000"/>
        </w:rPr>
        <w:t> In these situations, p</w:t>
      </w:r>
      <w:r w:rsidRPr="00835A58">
        <w:rPr>
          <w:rFonts w:eastAsia="Times New Roman"/>
          <w:color w:val="000000"/>
        </w:rPr>
        <w:t>roviders may request a COVID-19 Retainer Payment when they are not providing or paying for servi</w:t>
      </w:r>
      <w:r>
        <w:rPr>
          <w:rFonts w:eastAsia="Times New Roman"/>
          <w:color w:val="000000"/>
        </w:rPr>
        <w:t xml:space="preserve">ces, for a </w:t>
      </w:r>
      <w:r w:rsidRPr="00281D5A">
        <w:rPr>
          <w:rFonts w:eastAsia="Times New Roman"/>
          <w:color w:val="000000"/>
        </w:rPr>
        <w:t>particular person. See additional guidance regarding this topic</w:t>
      </w:r>
      <w:r>
        <w:rPr>
          <w:rFonts w:eastAsia="Times New Roman"/>
          <w:color w:val="000000"/>
        </w:rPr>
        <w:t xml:space="preserve"> on DDA’s website</w:t>
      </w:r>
      <w:r w:rsidRPr="00281D5A">
        <w:rPr>
          <w:rFonts w:eastAsia="Times New Roman"/>
          <w:color w:val="000000"/>
        </w:rPr>
        <w:t xml:space="preserve"> named</w:t>
      </w:r>
      <w:r w:rsidRPr="00A14207">
        <w:t xml:space="preserve"> DDA Appendix K #1 - Retainer Payment Guidance</w:t>
      </w:r>
      <w:r w:rsidR="00B912E9" w:rsidRPr="00A14207">
        <w:t xml:space="preserve"> here: </w:t>
      </w:r>
      <w:hyperlink r:id="rId16" w:history="1">
        <w:r w:rsidR="00B912E9" w:rsidRPr="00B912E9">
          <w:rPr>
            <w:rFonts w:cstheme="minorBidi"/>
            <w:color w:val="0000FF"/>
            <w:u w:val="single"/>
          </w:rPr>
          <w:t>https://dda.health.maryland.gov/Documents/COVID%2019%20Documents/Appendix%20K/Topic%20Specific%20Guidance/1-DDA%20Appendix%20K%201-Retainer%20Payment%20Guidance.pdf</w:t>
        </w:r>
      </w:hyperlink>
    </w:p>
    <w:p w14:paraId="7DD78DCF" w14:textId="0B54E137" w:rsidR="009A232E" w:rsidRDefault="00BB1845" w:rsidP="0049563C">
      <w:pPr>
        <w:pStyle w:val="NormalWeb"/>
        <w:spacing w:before="0" w:beforeAutospacing="0" w:after="160" w:afterAutospacing="0"/>
        <w:rPr>
          <w:rFonts w:eastAsia="Times New Roman"/>
          <w:b/>
          <w:color w:val="000000"/>
        </w:rPr>
      </w:pPr>
      <w:r w:rsidRPr="00A14207">
        <w:rPr>
          <w:rFonts w:eastAsia="Times New Roman"/>
          <w:b/>
          <w:color w:val="000000"/>
        </w:rPr>
        <w:t>NEW: A service for COVID-19 Supported Living Retainer Payment was added to this invoice for this purpose.</w:t>
      </w:r>
    </w:p>
    <w:p w14:paraId="7ED3D28E" w14:textId="77777777" w:rsidR="00281D0E" w:rsidRPr="00A14207" w:rsidRDefault="00281D0E" w:rsidP="0049563C">
      <w:pPr>
        <w:pStyle w:val="NormalWeb"/>
        <w:spacing w:before="0" w:beforeAutospacing="0" w:after="160" w:afterAutospacing="0"/>
        <w:rPr>
          <w:rFonts w:eastAsia="Times New Roman"/>
          <w:b/>
          <w:color w:val="000000"/>
        </w:rPr>
      </w:pPr>
    </w:p>
    <w:p w14:paraId="1FEAF0BD" w14:textId="522100B1" w:rsidR="00BB1845" w:rsidRPr="00A14207" w:rsidRDefault="00BB1845" w:rsidP="00A14207">
      <w:pPr>
        <w:pStyle w:val="ListParagraph"/>
        <w:numPr>
          <w:ilvl w:val="0"/>
          <w:numId w:val="35"/>
        </w:numPr>
        <w:rPr>
          <w:b/>
          <w:sz w:val="24"/>
          <w:szCs w:val="24"/>
          <w:u w:val="single"/>
        </w:rPr>
      </w:pPr>
      <w:r w:rsidRPr="00A14207">
        <w:rPr>
          <w:b/>
          <w:sz w:val="24"/>
          <w:szCs w:val="24"/>
          <w:u w:val="single"/>
        </w:rPr>
        <w:lastRenderedPageBreak/>
        <w:t>Day Time Shared Service Hours Authorization (Supported Living)</w:t>
      </w:r>
    </w:p>
    <w:p w14:paraId="2432DAFD" w14:textId="57502D65" w:rsidR="00BB1845" w:rsidRDefault="00BB1845" w:rsidP="00BB1845">
      <w:pPr>
        <w:pStyle w:val="NormalWeb"/>
        <w:spacing w:before="0" w:beforeAutospacing="0" w:after="160" w:afterAutospacing="0"/>
        <w:rPr>
          <w:rFonts w:cstheme="minorBidi"/>
        </w:rPr>
      </w:pPr>
      <w:r w:rsidRPr="00835A58">
        <w:rPr>
          <w:rFonts w:cstheme="minorBidi"/>
          <w:color w:val="000000"/>
        </w:rPr>
        <w:t xml:space="preserve">Due to </w:t>
      </w:r>
      <w:hyperlink r:id="rId17" w:history="1">
        <w:r w:rsidRPr="00835A58">
          <w:rPr>
            <w:rFonts w:cstheme="minorBidi"/>
            <w:color w:val="1155CC"/>
            <w:u w:val="single"/>
          </w:rPr>
          <w:t>State Executive Orders</w:t>
        </w:r>
      </w:hyperlink>
      <w:r w:rsidRPr="00835A58">
        <w:rPr>
          <w:rFonts w:cstheme="minorBidi"/>
          <w:color w:val="000000"/>
        </w:rPr>
        <w:t xml:space="preserve"> (including the closures of day programs and schools) and </w:t>
      </w:r>
      <w:hyperlink r:id="rId18" w:history="1">
        <w:r w:rsidRPr="00835A58">
          <w:rPr>
            <w:rFonts w:cstheme="minorBidi"/>
            <w:color w:val="005580"/>
            <w:u w:val="single"/>
            <w:shd w:val="clear" w:color="auto" w:fill="FFFFFF"/>
          </w:rPr>
          <w:t>Governor Hogan's Stay at Home Executive Order 3-30-20</w:t>
        </w:r>
      </w:hyperlink>
      <w:r w:rsidRPr="00835A58">
        <w:rPr>
          <w:rFonts w:cstheme="minorBidi"/>
          <w:color w:val="000000"/>
        </w:rPr>
        <w:t>, the DDA is authorizing a set amount of shared day time service hours to support the additional staffing agencies are providing.</w:t>
      </w:r>
      <w:r>
        <w:rPr>
          <w:rFonts w:cstheme="minorBidi"/>
          <w:color w:val="000000"/>
        </w:rPr>
        <w:t xml:space="preserve"> For Supported Living, the additional hours will be added automatically to one participant at the location </w:t>
      </w:r>
      <w:r w:rsidR="00642173">
        <w:rPr>
          <w:rFonts w:cstheme="minorBidi"/>
          <w:color w:val="000000"/>
        </w:rPr>
        <w:t>and PCIS2 will adjust the rate accordingly</w:t>
      </w:r>
      <w:r>
        <w:rPr>
          <w:rFonts w:cstheme="minorBidi"/>
          <w:color w:val="000000"/>
        </w:rPr>
        <w:t xml:space="preserve">. You will invoice the rate calculated using the approved Residential rate in PCIS2 which will include the additional hours for the home using the </w:t>
      </w:r>
      <w:r w:rsidRPr="00281D5A">
        <w:rPr>
          <w:color w:val="000000"/>
        </w:rPr>
        <w:t xml:space="preserve">current service, Supported Living. </w:t>
      </w:r>
      <w:r w:rsidRPr="00281D5A">
        <w:rPr>
          <w:rFonts w:eastAsia="Times New Roman"/>
          <w:color w:val="000000"/>
        </w:rPr>
        <w:t xml:space="preserve">See additional guidance regarding this topic on DDA’s website named </w:t>
      </w:r>
      <w:r w:rsidRPr="00A14207">
        <w:t>DDA Appendix K #2 - Residential Day Time Shared Service Hours Authorization</w:t>
      </w:r>
      <w:r w:rsidR="00B912E9" w:rsidRPr="00A14207">
        <w:t xml:space="preserve"> here:</w:t>
      </w:r>
      <w:r w:rsidR="00B912E9">
        <w:rPr>
          <w:rFonts w:eastAsia="Times New Roman"/>
          <w:color w:val="000000"/>
        </w:rPr>
        <w:t xml:space="preserve"> </w:t>
      </w:r>
      <w:hyperlink r:id="rId19" w:history="1">
        <w:r w:rsidR="00B912E9" w:rsidRPr="00B912E9">
          <w:rPr>
            <w:rFonts w:cstheme="minorBidi"/>
            <w:color w:val="0000FF"/>
            <w:u w:val="single"/>
          </w:rPr>
          <w:t>https://dda.health.maryland.gov/Documents/COVID%2019%20Documents/Appendix%20K/Topic%20Specific%20Guidance/2-DDA%20Appendix%20K%202-Residential%20Day%20Time%20Shared%20Service%20Hours%20Authorization.pdf</w:t>
        </w:r>
      </w:hyperlink>
    </w:p>
    <w:p w14:paraId="5250BF9D" w14:textId="77777777" w:rsidR="00281D0E" w:rsidRDefault="00281D0E" w:rsidP="00BB1845">
      <w:pPr>
        <w:pStyle w:val="NormalWeb"/>
        <w:spacing w:before="0" w:beforeAutospacing="0" w:after="160" w:afterAutospacing="0"/>
        <w:rPr>
          <w:rFonts w:eastAsia="Times New Roman"/>
          <w:color w:val="000000"/>
        </w:rPr>
      </w:pPr>
    </w:p>
    <w:p w14:paraId="4E07F0F4" w14:textId="77777777" w:rsidR="00BB1845" w:rsidRPr="00A14207" w:rsidRDefault="00BB1845" w:rsidP="00A14207">
      <w:pPr>
        <w:pStyle w:val="ListParagraph"/>
        <w:numPr>
          <w:ilvl w:val="0"/>
          <w:numId w:val="35"/>
        </w:numPr>
        <w:rPr>
          <w:b/>
          <w:sz w:val="24"/>
          <w:szCs w:val="24"/>
          <w:u w:val="single"/>
        </w:rPr>
      </w:pPr>
      <w:r w:rsidRPr="00A14207">
        <w:rPr>
          <w:b/>
          <w:sz w:val="24"/>
          <w:szCs w:val="24"/>
          <w:u w:val="single"/>
        </w:rPr>
        <w:t>Increase Rate When Supporting People with COVID-19 Virus (Nursing services, Supported Living, and Shared Living</w:t>
      </w:r>
    </w:p>
    <w:p w14:paraId="21B3A0B3" w14:textId="18B0E200" w:rsidR="00BB1845" w:rsidRPr="00D6697C" w:rsidRDefault="00BB1845" w:rsidP="00BB1845">
      <w:pPr>
        <w:pStyle w:val="NormalWeb"/>
        <w:spacing w:before="0" w:beforeAutospacing="0" w:after="160" w:afterAutospacing="0"/>
        <w:rPr>
          <w:color w:val="000000"/>
          <w:shd w:val="clear" w:color="auto" w:fill="FFFFFF"/>
        </w:rPr>
      </w:pPr>
      <w:r>
        <w:rPr>
          <w:color w:val="000000"/>
        </w:rPr>
        <w:t>Rates may be increased for directly supporting participants that tested positive for the COVID-19 virus, and therefore are isolated to account for increased cost such as e</w:t>
      </w:r>
      <w:r>
        <w:rPr>
          <w:color w:val="000000"/>
          <w:shd w:val="clear" w:color="auto" w:fill="FFFFFF"/>
        </w:rPr>
        <w:t xml:space="preserve">xcess overtime of direct support professionals to cover staffing needs, additional infection control supplies, and service costs. </w:t>
      </w:r>
      <w:r w:rsidRPr="00C20ADB">
        <w:rPr>
          <w:rFonts w:eastAsia="Times New Roman"/>
          <w:color w:val="000000"/>
          <w:shd w:val="clear" w:color="auto" w:fill="FFFFFF"/>
        </w:rPr>
        <w:t xml:space="preserve">The DDA may increase rates by </w:t>
      </w:r>
      <w:r w:rsidRPr="00281D5A">
        <w:rPr>
          <w:rFonts w:eastAsia="Times New Roman"/>
          <w:color w:val="000000"/>
          <w:shd w:val="clear" w:color="auto" w:fill="FFFFFF"/>
        </w:rPr>
        <w:t>up to 50% to account for the added risk and cost.</w:t>
      </w:r>
      <w:r w:rsidRPr="00281D5A">
        <w:rPr>
          <w:rFonts w:eastAsia="Times New Roman"/>
          <w:color w:val="000000"/>
        </w:rPr>
        <w:t xml:space="preserve"> See additional guidance regarding this topic on DDA’s website named </w:t>
      </w:r>
      <w:r w:rsidRPr="00A14207">
        <w:t>DDA Appendix K #7 - Increased Rate for Supporting Person with COVID-19 Virus</w:t>
      </w:r>
      <w:r w:rsidR="00B912E9" w:rsidRPr="00A14207">
        <w:t xml:space="preserve"> here: </w:t>
      </w:r>
      <w:hyperlink r:id="rId20" w:history="1">
        <w:r w:rsidR="00B912E9" w:rsidRPr="00B912E9">
          <w:rPr>
            <w:rFonts w:cstheme="minorBidi"/>
            <w:color w:val="0000FF"/>
            <w:u w:val="single"/>
          </w:rPr>
          <w:t>https://dda.health.maryland.gov/Documents/COVID%2019%20Documents/Appendix%20K/Topic%20Specific%20Guidance/7-DDA%20Appendix%20K%207-Increased%20Rate%20for%20Supporting%20Person%27s%20with%20COVID-19%20Virus.pdf</w:t>
        </w:r>
      </w:hyperlink>
    </w:p>
    <w:p w14:paraId="0328C7A0" w14:textId="77777777" w:rsidR="00BB1845" w:rsidRPr="00A14207" w:rsidRDefault="00BB1845" w:rsidP="00BB1845">
      <w:pPr>
        <w:rPr>
          <w:b/>
          <w:shd w:val="clear" w:color="auto" w:fill="FFFFFF"/>
        </w:rPr>
      </w:pPr>
      <w:r w:rsidRPr="00A14207">
        <w:rPr>
          <w:b/>
          <w:shd w:val="clear" w:color="auto" w:fill="FFFFFF"/>
        </w:rPr>
        <w:t xml:space="preserve">NEW: Services added to the invoice to bill for isolation rates include: </w:t>
      </w:r>
    </w:p>
    <w:p w14:paraId="4E7EFB5F" w14:textId="77777777" w:rsidR="00BB1845" w:rsidRPr="00A14207" w:rsidRDefault="00BB1845" w:rsidP="00BB1845">
      <w:pPr>
        <w:pStyle w:val="ListParagraph"/>
        <w:numPr>
          <w:ilvl w:val="0"/>
          <w:numId w:val="31"/>
        </w:numPr>
        <w:rPr>
          <w:b/>
          <w:shd w:val="clear" w:color="auto" w:fill="FFFFFF"/>
        </w:rPr>
      </w:pPr>
      <w:r w:rsidRPr="00A14207">
        <w:rPr>
          <w:b/>
          <w:sz w:val="24"/>
          <w:szCs w:val="24"/>
          <w:shd w:val="clear" w:color="auto" w:fill="FFFFFF"/>
        </w:rPr>
        <w:t>COVID-19 Nurse Case Management and Delegation Services-Isolation Rate</w:t>
      </w:r>
    </w:p>
    <w:p w14:paraId="787E58D5" w14:textId="77777777" w:rsidR="00BB1845" w:rsidRPr="00A14207" w:rsidRDefault="00BB1845" w:rsidP="00BB1845">
      <w:pPr>
        <w:pStyle w:val="ListParagraph"/>
        <w:numPr>
          <w:ilvl w:val="0"/>
          <w:numId w:val="31"/>
        </w:numPr>
        <w:rPr>
          <w:b/>
          <w:shd w:val="clear" w:color="auto" w:fill="FFFFFF"/>
        </w:rPr>
      </w:pPr>
      <w:r w:rsidRPr="00A14207">
        <w:rPr>
          <w:b/>
          <w:sz w:val="24"/>
          <w:szCs w:val="24"/>
          <w:shd w:val="clear" w:color="auto" w:fill="FFFFFF"/>
        </w:rPr>
        <w:t>COVID-19 Nurse Health Case Management-Isolation Rate</w:t>
      </w:r>
    </w:p>
    <w:p w14:paraId="2222D4BF" w14:textId="77777777" w:rsidR="00BB1845" w:rsidRPr="00A14207" w:rsidRDefault="00BB1845" w:rsidP="00BB1845">
      <w:pPr>
        <w:pStyle w:val="ListParagraph"/>
        <w:numPr>
          <w:ilvl w:val="0"/>
          <w:numId w:val="31"/>
        </w:numPr>
        <w:rPr>
          <w:b/>
          <w:shd w:val="clear" w:color="auto" w:fill="FFFFFF"/>
        </w:rPr>
      </w:pPr>
      <w:r w:rsidRPr="00A14207">
        <w:rPr>
          <w:b/>
          <w:sz w:val="24"/>
          <w:szCs w:val="24"/>
          <w:shd w:val="clear" w:color="auto" w:fill="FFFFFF"/>
        </w:rPr>
        <w:t>COVID-19 Supported Living- Isolation Rate</w:t>
      </w:r>
    </w:p>
    <w:p w14:paraId="2D48767C" w14:textId="77777777" w:rsidR="00BB1845" w:rsidRPr="00A14207" w:rsidRDefault="00BB1845" w:rsidP="00BB1845">
      <w:pPr>
        <w:pStyle w:val="ListParagraph"/>
        <w:numPr>
          <w:ilvl w:val="0"/>
          <w:numId w:val="31"/>
        </w:numPr>
        <w:rPr>
          <w:b/>
          <w:shd w:val="clear" w:color="auto" w:fill="FFFFFF"/>
        </w:rPr>
      </w:pPr>
      <w:r w:rsidRPr="00A14207">
        <w:rPr>
          <w:b/>
          <w:sz w:val="24"/>
          <w:szCs w:val="24"/>
          <w:shd w:val="clear" w:color="auto" w:fill="FFFFFF"/>
        </w:rPr>
        <w:t>COVID-19 Shared Living- Isolation Rate</w:t>
      </w:r>
    </w:p>
    <w:p w14:paraId="4FF63761" w14:textId="77777777" w:rsidR="00BB1845" w:rsidRPr="00494D31" w:rsidRDefault="00BB1845" w:rsidP="00BB1845">
      <w:pPr>
        <w:rPr>
          <w:shd w:val="clear" w:color="auto" w:fill="FFFFFF"/>
        </w:rPr>
      </w:pPr>
    </w:p>
    <w:p w14:paraId="33B77741" w14:textId="77777777" w:rsidR="00BB1845" w:rsidRPr="00A14207" w:rsidRDefault="00BB1845" w:rsidP="00A14207">
      <w:pPr>
        <w:pStyle w:val="NormalWeb"/>
        <w:numPr>
          <w:ilvl w:val="0"/>
          <w:numId w:val="35"/>
        </w:numPr>
        <w:spacing w:before="0" w:beforeAutospacing="0" w:after="160" w:afterAutospacing="0"/>
        <w:rPr>
          <w:rFonts w:eastAsia="Times New Roman"/>
          <w:u w:val="single"/>
        </w:rPr>
      </w:pPr>
      <w:r w:rsidRPr="00A14207">
        <w:rPr>
          <w:b/>
          <w:bCs/>
          <w:color w:val="000000"/>
          <w:u w:val="single"/>
          <w:shd w:val="clear" w:color="auto" w:fill="FFFFFF"/>
        </w:rPr>
        <w:t>Additional hours of Respite Service available without preauthorization</w:t>
      </w:r>
    </w:p>
    <w:p w14:paraId="04BEA629" w14:textId="12BD4B1E" w:rsidR="00B912E9" w:rsidRDefault="00BB1845" w:rsidP="00BB1845">
      <w:pPr>
        <w:jc w:val="both"/>
        <w:rPr>
          <w:color w:val="FF0000"/>
          <w:shd w:val="clear" w:color="auto" w:fill="FFFF00"/>
        </w:rPr>
      </w:pPr>
      <w:r w:rsidRPr="003251EE">
        <w:t>Participants can access up to an additional 360 respite service hours</w:t>
      </w:r>
      <w:r>
        <w:t xml:space="preserve">, or 15 days, </w:t>
      </w:r>
      <w:r w:rsidRPr="003251EE">
        <w:t>spec</w:t>
      </w:r>
      <w:r>
        <w:t>ifically related to the COVID -</w:t>
      </w:r>
      <w:r w:rsidRPr="00281D5A">
        <w:rPr>
          <w:rFonts w:cs="Times New Roman"/>
        </w:rPr>
        <w:t>19 emergency without prior authorization by the DDA.</w:t>
      </w:r>
      <w:r w:rsidRPr="000349B9">
        <w:rPr>
          <w:rFonts w:cs="Times New Roman"/>
        </w:rPr>
        <w:t xml:space="preserve"> </w:t>
      </w:r>
      <w:r w:rsidRPr="000349B9">
        <w:rPr>
          <w:rFonts w:eastAsia="Times New Roman" w:cs="Times New Roman"/>
          <w:color w:val="000000"/>
        </w:rPr>
        <w:t xml:space="preserve">See </w:t>
      </w:r>
      <w:r w:rsidRPr="00BB1845">
        <w:rPr>
          <w:rFonts w:eastAsia="Times New Roman" w:cs="Times New Roman"/>
          <w:color w:val="000000"/>
        </w:rPr>
        <w:t>additional guidance regarding this topic on DDA</w:t>
      </w:r>
      <w:r w:rsidRPr="00D6697C">
        <w:rPr>
          <w:rFonts w:eastAsia="Times New Roman" w:cs="Times New Roman"/>
          <w:color w:val="000000"/>
        </w:rPr>
        <w:t xml:space="preserve">’s website named </w:t>
      </w:r>
      <w:r w:rsidRPr="00A14207">
        <w:t>DDA Appendix K #4 - Exceptions to Pre Authorization and Service Requirements</w:t>
      </w:r>
      <w:r w:rsidR="00B912E9" w:rsidRPr="00A14207">
        <w:t xml:space="preserve"> here: </w:t>
      </w:r>
    </w:p>
    <w:p w14:paraId="2066CB7C" w14:textId="20F93043" w:rsidR="00BB1845" w:rsidRDefault="002B368B" w:rsidP="00BB1845">
      <w:pPr>
        <w:jc w:val="both"/>
        <w:rPr>
          <w:color w:val="FF0000"/>
          <w:shd w:val="clear" w:color="auto" w:fill="FFFF00"/>
        </w:rPr>
      </w:pPr>
      <w:hyperlink r:id="rId21" w:history="1">
        <w:r w:rsidR="00B912E9" w:rsidRPr="00B912E9">
          <w:rPr>
            <w:color w:val="0000FF"/>
            <w:u w:val="single"/>
          </w:rPr>
          <w:t>https://dda.health.maryland.gov/Documents/COVID%2019%20Documents/Appendix%20K/Topic%20Specific%20Guidance/4-DDA%20Appendix%20K%204-Execptions%20to%20Pre%20Authorization%20and%20Service%20Requirements.pdf</w:t>
        </w:r>
      </w:hyperlink>
    </w:p>
    <w:p w14:paraId="3816C601" w14:textId="77777777" w:rsidR="009A232E" w:rsidRDefault="009A232E" w:rsidP="00BB1845">
      <w:pPr>
        <w:jc w:val="both"/>
        <w:rPr>
          <w:color w:val="FF0000"/>
          <w:shd w:val="clear" w:color="auto" w:fill="FFFF00"/>
        </w:rPr>
      </w:pPr>
    </w:p>
    <w:p w14:paraId="4127CC38" w14:textId="5CB6EE20" w:rsidR="009A232E" w:rsidRPr="00A14207" w:rsidRDefault="009A232E" w:rsidP="00A14207">
      <w:pPr>
        <w:rPr>
          <w:b/>
        </w:rPr>
      </w:pPr>
      <w:r w:rsidRPr="00A14207">
        <w:rPr>
          <w:b/>
        </w:rPr>
        <w:t>NEW:</w:t>
      </w:r>
      <w:r w:rsidRPr="00A14207">
        <w:rPr>
          <w:b/>
        </w:rPr>
        <w:tab/>
        <w:t>Services added to the invoice for additional units of Respite services include:</w:t>
      </w:r>
    </w:p>
    <w:p w14:paraId="229929D8" w14:textId="53E690C2" w:rsidR="00BB1845" w:rsidRPr="00A14207" w:rsidRDefault="00BB1845" w:rsidP="00A14207">
      <w:pPr>
        <w:pStyle w:val="ListParagraph"/>
        <w:numPr>
          <w:ilvl w:val="0"/>
          <w:numId w:val="33"/>
        </w:numPr>
        <w:rPr>
          <w:rFonts w:eastAsia="Times New Roman"/>
          <w:b/>
          <w:sz w:val="24"/>
          <w:szCs w:val="24"/>
        </w:rPr>
      </w:pPr>
      <w:r w:rsidRPr="00A14207">
        <w:rPr>
          <w:rFonts w:eastAsia="Times New Roman"/>
          <w:b/>
          <w:sz w:val="24"/>
          <w:szCs w:val="24"/>
        </w:rPr>
        <w:lastRenderedPageBreak/>
        <w:t>COVID-19 Respite-Daily</w:t>
      </w:r>
    </w:p>
    <w:p w14:paraId="68E6F61E" w14:textId="77777777" w:rsidR="00BB1845" w:rsidRPr="00A14207" w:rsidRDefault="00BB1845" w:rsidP="00A14207">
      <w:pPr>
        <w:pStyle w:val="ListParagraph"/>
        <w:numPr>
          <w:ilvl w:val="0"/>
          <w:numId w:val="33"/>
        </w:numPr>
        <w:rPr>
          <w:rFonts w:eastAsia="Times New Roman"/>
          <w:b/>
          <w:sz w:val="24"/>
          <w:szCs w:val="24"/>
        </w:rPr>
      </w:pPr>
      <w:r w:rsidRPr="00A14207">
        <w:rPr>
          <w:rFonts w:eastAsia="Times New Roman"/>
          <w:b/>
          <w:sz w:val="24"/>
          <w:szCs w:val="24"/>
        </w:rPr>
        <w:t>COVID-19 Respite-Hourly</w:t>
      </w:r>
    </w:p>
    <w:p w14:paraId="30F89528" w14:textId="77777777" w:rsidR="006B26EB" w:rsidRDefault="006B26EB" w:rsidP="00325C1B"/>
    <w:p w14:paraId="57687DC3" w14:textId="6FBC74CE" w:rsidR="00325C1B" w:rsidRDefault="00325C1B" w:rsidP="00325C1B">
      <w:r>
        <w:t xml:space="preserve">Below you will find a list of </w:t>
      </w:r>
      <w:r w:rsidR="00467375">
        <w:t>eligible COVID-19 services</w:t>
      </w:r>
      <w:r w:rsidR="00071779">
        <w:t xml:space="preserve"> that may be authorized in the Community Pathways Waiver</w:t>
      </w:r>
      <w:r w:rsidR="00A10FA1">
        <w:t xml:space="preserve"> and </w:t>
      </w:r>
      <w:r w:rsidR="00E20A60">
        <w:t xml:space="preserve">that </w:t>
      </w:r>
      <w:r w:rsidR="00A10FA1">
        <w:t>would be billed using the Invoice template</w:t>
      </w:r>
      <w:r w:rsidR="008F76AF">
        <w:t xml:space="preserve"> </w:t>
      </w:r>
      <w:r w:rsidR="00E20A60">
        <w:t>(</w:t>
      </w:r>
      <w:r w:rsidR="007830CF">
        <w:t xml:space="preserve">Behavioral Support Services </w:t>
      </w:r>
      <w:r w:rsidR="008F76AF">
        <w:t>will be billed</w:t>
      </w:r>
      <w:r w:rsidR="007830CF">
        <w:t xml:space="preserve"> using a different process and invoice template).</w:t>
      </w:r>
      <w:r w:rsidR="000777B1">
        <w:t xml:space="preserve"> When selecting services on the Consumer Service Detail tab, column I will prepopulate with the correct procedure code to</w:t>
      </w:r>
      <w:r w:rsidR="008F76AF">
        <w:t xml:space="preserve"> be used for the federal billing.</w:t>
      </w:r>
    </w:p>
    <w:p w14:paraId="4CB529EE" w14:textId="491B4BF3" w:rsidR="000C1EC6" w:rsidRDefault="000C1EC6" w:rsidP="00325C1B"/>
    <w:p w14:paraId="373D91BA" w14:textId="705E24B2" w:rsidR="00467375" w:rsidRPr="00170EE0" w:rsidRDefault="00987F6F" w:rsidP="00325C1B">
      <w:r>
        <w:t>New services</w:t>
      </w:r>
      <w:r w:rsidR="00467375">
        <w:t xml:space="preserve"> included on this invoice are labeled as COVID-19 and are to </w:t>
      </w:r>
      <w:r w:rsidR="00E93A21">
        <w:t xml:space="preserve">be used to </w:t>
      </w:r>
      <w:r w:rsidR="00467375">
        <w:t xml:space="preserve">bill for services eligible for retainer payment, isolation rates, or to authorize additional units of service for period of the public health emergency. </w:t>
      </w:r>
    </w:p>
    <w:p w14:paraId="1D0572AE" w14:textId="77777777" w:rsidR="00325C1B" w:rsidRPr="00446570" w:rsidRDefault="00325C1B" w:rsidP="00325C1B">
      <w:pPr>
        <w:pStyle w:val="NoSpacing"/>
      </w:pPr>
    </w:p>
    <w:tbl>
      <w:tblPr>
        <w:tblStyle w:val="TableGrid"/>
        <w:tblW w:w="10075" w:type="dxa"/>
        <w:tblLayout w:type="fixed"/>
        <w:tblLook w:val="04A0" w:firstRow="1" w:lastRow="0" w:firstColumn="1" w:lastColumn="0" w:noHBand="0" w:noVBand="1"/>
      </w:tblPr>
      <w:tblGrid>
        <w:gridCol w:w="468"/>
        <w:gridCol w:w="5017"/>
        <w:gridCol w:w="1350"/>
        <w:gridCol w:w="1440"/>
        <w:gridCol w:w="1800"/>
      </w:tblGrid>
      <w:tr w:rsidR="00EA2BCC" w14:paraId="13A2EA82" w14:textId="77777777" w:rsidTr="00A14207">
        <w:tc>
          <w:tcPr>
            <w:tcW w:w="5485" w:type="dxa"/>
            <w:gridSpan w:val="2"/>
            <w:shd w:val="clear" w:color="auto" w:fill="333300"/>
          </w:tcPr>
          <w:p w14:paraId="750D40CB" w14:textId="2BD9F793" w:rsidR="00EA2BCC" w:rsidRPr="00AD080A" w:rsidRDefault="00467375" w:rsidP="00325C1B">
            <w:pPr>
              <w:spacing w:before="100" w:beforeAutospacing="1" w:after="100" w:afterAutospacing="1"/>
              <w:contextualSpacing/>
              <w:rPr>
                <w:b/>
                <w:color w:val="FFFFFF" w:themeColor="background1"/>
              </w:rPr>
            </w:pPr>
            <w:r>
              <w:rPr>
                <w:b/>
                <w:color w:val="FFFFFF" w:themeColor="background1"/>
              </w:rPr>
              <w:t xml:space="preserve">COVID-19 </w:t>
            </w:r>
            <w:r w:rsidR="00EF1EA2">
              <w:rPr>
                <w:b/>
                <w:color w:val="FFFFFF" w:themeColor="background1"/>
              </w:rPr>
              <w:t xml:space="preserve"> </w:t>
            </w:r>
            <w:r w:rsidR="00EA2BCC">
              <w:rPr>
                <w:b/>
                <w:color w:val="FFFFFF" w:themeColor="background1"/>
              </w:rPr>
              <w:t>Services</w:t>
            </w:r>
          </w:p>
        </w:tc>
        <w:tc>
          <w:tcPr>
            <w:tcW w:w="1350" w:type="dxa"/>
            <w:shd w:val="clear" w:color="auto" w:fill="333300"/>
          </w:tcPr>
          <w:p w14:paraId="558ADD3B" w14:textId="77777777" w:rsidR="00EA2BCC" w:rsidRDefault="00EA2BCC" w:rsidP="00A14207">
            <w:pPr>
              <w:spacing w:before="100" w:beforeAutospacing="1" w:after="100" w:afterAutospacing="1"/>
              <w:contextualSpacing/>
              <w:jc w:val="center"/>
              <w:rPr>
                <w:b/>
                <w:color w:val="FFFFFF" w:themeColor="background1"/>
              </w:rPr>
            </w:pPr>
            <w:r>
              <w:rPr>
                <w:b/>
                <w:color w:val="FFFFFF" w:themeColor="background1"/>
              </w:rPr>
              <w:t>Service</w:t>
            </w:r>
          </w:p>
          <w:p w14:paraId="2645FE41" w14:textId="3DE92022" w:rsidR="00EA2BCC" w:rsidRDefault="00EA2BCC" w:rsidP="00A14207">
            <w:pPr>
              <w:spacing w:before="100" w:beforeAutospacing="1" w:after="100" w:afterAutospacing="1"/>
              <w:contextualSpacing/>
              <w:jc w:val="center"/>
              <w:rPr>
                <w:b/>
                <w:color w:val="FFFFFF" w:themeColor="background1"/>
              </w:rPr>
            </w:pPr>
            <w:r>
              <w:rPr>
                <w:b/>
                <w:color w:val="FFFFFF" w:themeColor="background1"/>
              </w:rPr>
              <w:t>Unit</w:t>
            </w:r>
          </w:p>
        </w:tc>
        <w:tc>
          <w:tcPr>
            <w:tcW w:w="1440" w:type="dxa"/>
            <w:shd w:val="clear" w:color="auto" w:fill="333300"/>
          </w:tcPr>
          <w:p w14:paraId="187BA5CF" w14:textId="3219E3D4" w:rsidR="00EA2BCC" w:rsidRPr="00AD080A" w:rsidRDefault="00EA2BCC" w:rsidP="00A14207">
            <w:pPr>
              <w:spacing w:before="100" w:beforeAutospacing="1" w:after="100" w:afterAutospacing="1"/>
              <w:contextualSpacing/>
              <w:jc w:val="center"/>
              <w:rPr>
                <w:b/>
                <w:color w:val="FFFFFF" w:themeColor="background1"/>
              </w:rPr>
            </w:pPr>
            <w:r>
              <w:rPr>
                <w:b/>
                <w:color w:val="FFFFFF" w:themeColor="background1"/>
              </w:rPr>
              <w:t>Waiver Procedure Code</w:t>
            </w:r>
          </w:p>
        </w:tc>
        <w:tc>
          <w:tcPr>
            <w:tcW w:w="1800" w:type="dxa"/>
            <w:shd w:val="clear" w:color="auto" w:fill="333300"/>
          </w:tcPr>
          <w:p w14:paraId="5A94A5A1" w14:textId="77777777" w:rsidR="00EA2BCC" w:rsidRDefault="00EA2BCC" w:rsidP="00325C1B">
            <w:pPr>
              <w:spacing w:before="100" w:beforeAutospacing="1" w:after="100" w:afterAutospacing="1"/>
              <w:contextualSpacing/>
              <w:rPr>
                <w:b/>
                <w:color w:val="FFFFFF" w:themeColor="background1"/>
              </w:rPr>
            </w:pPr>
            <w:r>
              <w:rPr>
                <w:b/>
                <w:color w:val="FFFFFF" w:themeColor="background1"/>
              </w:rPr>
              <w:t>Documentation need with Invoice</w:t>
            </w:r>
          </w:p>
        </w:tc>
      </w:tr>
      <w:tr w:rsidR="00987F6F" w14:paraId="37418C96" w14:textId="77777777" w:rsidTr="00A14207">
        <w:tc>
          <w:tcPr>
            <w:tcW w:w="468" w:type="dxa"/>
          </w:tcPr>
          <w:p w14:paraId="6C0B289C" w14:textId="63FB9C3D" w:rsidR="00987F6F" w:rsidRDefault="00AC375C" w:rsidP="00325C1B">
            <w:pPr>
              <w:spacing w:before="100" w:beforeAutospacing="1" w:after="100" w:afterAutospacing="1"/>
              <w:contextualSpacing/>
            </w:pPr>
            <w:r>
              <w:t>1</w:t>
            </w:r>
          </w:p>
        </w:tc>
        <w:tc>
          <w:tcPr>
            <w:tcW w:w="5017" w:type="dxa"/>
          </w:tcPr>
          <w:p w14:paraId="0321C909" w14:textId="46A5C832" w:rsidR="00987F6F" w:rsidRPr="00346C59" w:rsidRDefault="00987F6F" w:rsidP="0049563C">
            <w:pPr>
              <w:rPr>
                <w:color w:val="000000"/>
              </w:rPr>
            </w:pPr>
            <w:r>
              <w:t>COVID-19 Nurse Case Management and Delegation Services- Isolation Rate</w:t>
            </w:r>
            <w:r w:rsidR="00AC375C" w:rsidDel="003119FD">
              <w:rPr>
                <w:color w:val="000000"/>
              </w:rPr>
              <w:t xml:space="preserve"> </w:t>
            </w:r>
          </w:p>
        </w:tc>
        <w:tc>
          <w:tcPr>
            <w:tcW w:w="1350" w:type="dxa"/>
          </w:tcPr>
          <w:p w14:paraId="05BF1945" w14:textId="60FDFF8D" w:rsidR="00987F6F" w:rsidRDefault="00987F6F" w:rsidP="00A14207">
            <w:pPr>
              <w:spacing w:before="100" w:beforeAutospacing="1" w:after="100" w:afterAutospacing="1"/>
              <w:contextualSpacing/>
            </w:pPr>
            <w:r>
              <w:t>15 minutes</w:t>
            </w:r>
          </w:p>
        </w:tc>
        <w:tc>
          <w:tcPr>
            <w:tcW w:w="1440" w:type="dxa"/>
          </w:tcPr>
          <w:p w14:paraId="422A0229" w14:textId="0B41B8D1" w:rsidR="00987F6F" w:rsidRDefault="00987F6F" w:rsidP="00A14207">
            <w:pPr>
              <w:spacing w:before="100" w:beforeAutospacing="1" w:after="100" w:afterAutospacing="1"/>
              <w:contextualSpacing/>
            </w:pPr>
            <w:r>
              <w:t>W5804</w:t>
            </w:r>
          </w:p>
        </w:tc>
        <w:tc>
          <w:tcPr>
            <w:tcW w:w="1800" w:type="dxa"/>
          </w:tcPr>
          <w:p w14:paraId="60A1B8F6" w14:textId="735BCF50" w:rsidR="00987F6F" w:rsidRDefault="00987F6F" w:rsidP="007B647E">
            <w:pPr>
              <w:spacing w:before="100" w:beforeAutospacing="1" w:after="100" w:afterAutospacing="1"/>
              <w:contextualSpacing/>
            </w:pPr>
            <w:r>
              <w:t>*</w:t>
            </w:r>
          </w:p>
        </w:tc>
      </w:tr>
      <w:tr w:rsidR="00987F6F" w14:paraId="0F462F38" w14:textId="77777777" w:rsidTr="00A14207">
        <w:tc>
          <w:tcPr>
            <w:tcW w:w="468" w:type="dxa"/>
          </w:tcPr>
          <w:p w14:paraId="68BB1A73" w14:textId="242D2268" w:rsidR="00987F6F" w:rsidRDefault="00AC375C" w:rsidP="00325C1B">
            <w:pPr>
              <w:spacing w:before="100" w:beforeAutospacing="1" w:after="100" w:afterAutospacing="1"/>
              <w:contextualSpacing/>
            </w:pPr>
            <w:r>
              <w:t>2</w:t>
            </w:r>
          </w:p>
        </w:tc>
        <w:tc>
          <w:tcPr>
            <w:tcW w:w="5017" w:type="dxa"/>
          </w:tcPr>
          <w:p w14:paraId="6CF2A450" w14:textId="728DAA73" w:rsidR="00987F6F" w:rsidRDefault="00987F6F" w:rsidP="0049563C">
            <w:pPr>
              <w:spacing w:before="100" w:beforeAutospacing="1" w:after="100" w:afterAutospacing="1"/>
              <w:contextualSpacing/>
            </w:pPr>
            <w:r>
              <w:t>COVID-19 Nurse Health Case Management-Isolation Rate</w:t>
            </w:r>
          </w:p>
        </w:tc>
        <w:tc>
          <w:tcPr>
            <w:tcW w:w="1350" w:type="dxa"/>
          </w:tcPr>
          <w:p w14:paraId="1B4E4242" w14:textId="3FD0E03C" w:rsidR="00987F6F" w:rsidRDefault="00987F6F" w:rsidP="00A14207">
            <w:pPr>
              <w:spacing w:before="100" w:beforeAutospacing="1" w:after="100" w:afterAutospacing="1"/>
              <w:contextualSpacing/>
            </w:pPr>
            <w:r>
              <w:t>15 minutes</w:t>
            </w:r>
          </w:p>
        </w:tc>
        <w:tc>
          <w:tcPr>
            <w:tcW w:w="1440" w:type="dxa"/>
          </w:tcPr>
          <w:p w14:paraId="3396788A" w14:textId="4B372B59" w:rsidR="00987F6F" w:rsidRDefault="00987F6F" w:rsidP="00A14207">
            <w:pPr>
              <w:spacing w:before="100" w:beforeAutospacing="1" w:after="100" w:afterAutospacing="1"/>
              <w:contextualSpacing/>
            </w:pPr>
            <w:r>
              <w:t>W5802</w:t>
            </w:r>
          </w:p>
        </w:tc>
        <w:tc>
          <w:tcPr>
            <w:tcW w:w="1800" w:type="dxa"/>
          </w:tcPr>
          <w:p w14:paraId="2E9B1A21" w14:textId="1E86CF19" w:rsidR="00987F6F" w:rsidRDefault="00987F6F" w:rsidP="007B647E">
            <w:pPr>
              <w:spacing w:before="100" w:beforeAutospacing="1" w:after="100" w:afterAutospacing="1"/>
              <w:contextualSpacing/>
            </w:pPr>
            <w:r>
              <w:t>*</w:t>
            </w:r>
          </w:p>
        </w:tc>
      </w:tr>
      <w:tr w:rsidR="00987F6F" w14:paraId="4B00CB62" w14:textId="77777777" w:rsidTr="00A14207">
        <w:trPr>
          <w:trHeight w:val="467"/>
        </w:trPr>
        <w:tc>
          <w:tcPr>
            <w:tcW w:w="468" w:type="dxa"/>
          </w:tcPr>
          <w:p w14:paraId="128E38E9" w14:textId="34C3BCC9" w:rsidR="00987F6F" w:rsidRDefault="00AC375C" w:rsidP="00325C1B">
            <w:pPr>
              <w:spacing w:before="100" w:beforeAutospacing="1" w:after="100" w:afterAutospacing="1"/>
              <w:contextualSpacing/>
            </w:pPr>
            <w:r>
              <w:t>3</w:t>
            </w:r>
          </w:p>
        </w:tc>
        <w:tc>
          <w:tcPr>
            <w:tcW w:w="5017" w:type="dxa"/>
          </w:tcPr>
          <w:p w14:paraId="7529F3A5" w14:textId="542E4887" w:rsidR="00987F6F" w:rsidRDefault="00987F6F" w:rsidP="0049563C">
            <w:pPr>
              <w:spacing w:before="100" w:beforeAutospacing="1" w:after="100" w:afterAutospacing="1"/>
              <w:contextualSpacing/>
            </w:pPr>
            <w:r>
              <w:t>COVID-19 Respite- Daily</w:t>
            </w:r>
            <w:r w:rsidR="00AC375C" w:rsidDel="003119FD">
              <w:t xml:space="preserve"> </w:t>
            </w:r>
          </w:p>
        </w:tc>
        <w:tc>
          <w:tcPr>
            <w:tcW w:w="1350" w:type="dxa"/>
          </w:tcPr>
          <w:p w14:paraId="46ABA9FA" w14:textId="0EA15743" w:rsidR="00987F6F" w:rsidRDefault="00987F6F" w:rsidP="00325C1B">
            <w:pPr>
              <w:spacing w:before="100" w:beforeAutospacing="1" w:after="100" w:afterAutospacing="1"/>
              <w:contextualSpacing/>
            </w:pPr>
            <w:r>
              <w:t>Day</w:t>
            </w:r>
          </w:p>
        </w:tc>
        <w:tc>
          <w:tcPr>
            <w:tcW w:w="1440" w:type="dxa"/>
          </w:tcPr>
          <w:p w14:paraId="6574F933" w14:textId="5E9D4E40" w:rsidR="00987F6F" w:rsidRDefault="00AC375C" w:rsidP="00A14207">
            <w:pPr>
              <w:tabs>
                <w:tab w:val="left" w:pos="864"/>
              </w:tabs>
              <w:spacing w:before="100" w:beforeAutospacing="1" w:after="100" w:afterAutospacing="1"/>
              <w:contextualSpacing/>
            </w:pPr>
            <w:r>
              <w:t>W5822</w:t>
            </w:r>
          </w:p>
        </w:tc>
        <w:tc>
          <w:tcPr>
            <w:tcW w:w="1800" w:type="dxa"/>
          </w:tcPr>
          <w:p w14:paraId="538907E5" w14:textId="53CFCDD5" w:rsidR="00987F6F" w:rsidRDefault="00987F6F" w:rsidP="00325C1B">
            <w:pPr>
              <w:spacing w:before="100" w:beforeAutospacing="1" w:after="100" w:afterAutospacing="1"/>
              <w:contextualSpacing/>
            </w:pPr>
            <w:r>
              <w:t>*</w:t>
            </w:r>
          </w:p>
        </w:tc>
      </w:tr>
      <w:tr w:rsidR="00987F6F" w14:paraId="0A8A8A7A" w14:textId="77777777" w:rsidTr="00A14207">
        <w:tc>
          <w:tcPr>
            <w:tcW w:w="468" w:type="dxa"/>
          </w:tcPr>
          <w:p w14:paraId="78875DB8" w14:textId="66184363" w:rsidR="00987F6F" w:rsidRDefault="00AC375C" w:rsidP="00325C1B">
            <w:pPr>
              <w:spacing w:before="100" w:beforeAutospacing="1" w:after="100" w:afterAutospacing="1"/>
              <w:contextualSpacing/>
            </w:pPr>
            <w:r>
              <w:t>4</w:t>
            </w:r>
          </w:p>
        </w:tc>
        <w:tc>
          <w:tcPr>
            <w:tcW w:w="5017" w:type="dxa"/>
          </w:tcPr>
          <w:p w14:paraId="7C2343FE" w14:textId="218F494D" w:rsidR="00987F6F" w:rsidRDefault="00987F6F" w:rsidP="00325C1B">
            <w:pPr>
              <w:spacing w:before="100" w:beforeAutospacing="1" w:after="100" w:afterAutospacing="1"/>
              <w:contextualSpacing/>
            </w:pPr>
            <w:r>
              <w:t>COVID-19 Respite- Hourly</w:t>
            </w:r>
          </w:p>
        </w:tc>
        <w:tc>
          <w:tcPr>
            <w:tcW w:w="1350" w:type="dxa"/>
          </w:tcPr>
          <w:p w14:paraId="466388D7" w14:textId="10FBD0B0" w:rsidR="00987F6F" w:rsidRDefault="00987F6F" w:rsidP="00325C1B">
            <w:pPr>
              <w:spacing w:before="100" w:beforeAutospacing="1" w:after="100" w:afterAutospacing="1"/>
              <w:contextualSpacing/>
            </w:pPr>
            <w:r>
              <w:t>Hour</w:t>
            </w:r>
          </w:p>
        </w:tc>
        <w:tc>
          <w:tcPr>
            <w:tcW w:w="1440" w:type="dxa"/>
          </w:tcPr>
          <w:p w14:paraId="6FF453B1" w14:textId="2781AEE1" w:rsidR="00987F6F" w:rsidRDefault="00AC375C" w:rsidP="00325C1B">
            <w:pPr>
              <w:spacing w:before="100" w:beforeAutospacing="1" w:after="100" w:afterAutospacing="1"/>
              <w:contextualSpacing/>
            </w:pPr>
            <w:r>
              <w:t>W5830</w:t>
            </w:r>
          </w:p>
        </w:tc>
        <w:tc>
          <w:tcPr>
            <w:tcW w:w="1800" w:type="dxa"/>
          </w:tcPr>
          <w:p w14:paraId="0B3BA736" w14:textId="351EB765" w:rsidR="00987F6F" w:rsidRDefault="00987F6F" w:rsidP="00325C1B">
            <w:pPr>
              <w:spacing w:before="100" w:beforeAutospacing="1" w:after="100" w:afterAutospacing="1"/>
              <w:contextualSpacing/>
            </w:pPr>
            <w:r>
              <w:t>*</w:t>
            </w:r>
          </w:p>
        </w:tc>
      </w:tr>
      <w:tr w:rsidR="00987F6F" w14:paraId="058269AB" w14:textId="77777777" w:rsidTr="00A14207">
        <w:tc>
          <w:tcPr>
            <w:tcW w:w="468" w:type="dxa"/>
          </w:tcPr>
          <w:p w14:paraId="7FEF2536" w14:textId="766E665E" w:rsidR="00987F6F" w:rsidRDefault="00AC375C" w:rsidP="00325C1B">
            <w:pPr>
              <w:spacing w:before="100" w:beforeAutospacing="1" w:after="100" w:afterAutospacing="1"/>
              <w:contextualSpacing/>
            </w:pPr>
            <w:r>
              <w:t>5</w:t>
            </w:r>
          </w:p>
        </w:tc>
        <w:tc>
          <w:tcPr>
            <w:tcW w:w="5017" w:type="dxa"/>
          </w:tcPr>
          <w:p w14:paraId="14737FFB" w14:textId="045A2BB3" w:rsidR="00987F6F" w:rsidRDefault="00987F6F" w:rsidP="00325C1B">
            <w:pPr>
              <w:spacing w:before="100" w:beforeAutospacing="1" w:after="100" w:afterAutospacing="1"/>
              <w:contextualSpacing/>
            </w:pPr>
            <w:r>
              <w:t>COVID-19 Supported Living- Isolation Rate</w:t>
            </w:r>
          </w:p>
        </w:tc>
        <w:tc>
          <w:tcPr>
            <w:tcW w:w="1350" w:type="dxa"/>
          </w:tcPr>
          <w:p w14:paraId="60FA9DB9" w14:textId="124B15C5" w:rsidR="00987F6F" w:rsidRDefault="00987F6F" w:rsidP="00325C1B">
            <w:pPr>
              <w:spacing w:before="100" w:beforeAutospacing="1" w:after="100" w:afterAutospacing="1"/>
              <w:contextualSpacing/>
            </w:pPr>
            <w:r>
              <w:t>Day</w:t>
            </w:r>
          </w:p>
        </w:tc>
        <w:tc>
          <w:tcPr>
            <w:tcW w:w="1440" w:type="dxa"/>
          </w:tcPr>
          <w:p w14:paraId="2E01814C" w14:textId="658EF2B1" w:rsidR="00987F6F" w:rsidRDefault="00987F6F" w:rsidP="00325C1B">
            <w:pPr>
              <w:spacing w:before="100" w:beforeAutospacing="1" w:after="100" w:afterAutospacing="1"/>
              <w:contextualSpacing/>
            </w:pPr>
            <w:r>
              <w:t>W5620</w:t>
            </w:r>
          </w:p>
        </w:tc>
        <w:tc>
          <w:tcPr>
            <w:tcW w:w="1800" w:type="dxa"/>
          </w:tcPr>
          <w:p w14:paraId="0ACA1488" w14:textId="38015F1F" w:rsidR="00987F6F" w:rsidRDefault="00987F6F" w:rsidP="00325C1B">
            <w:pPr>
              <w:spacing w:before="100" w:beforeAutospacing="1" w:after="100" w:afterAutospacing="1"/>
              <w:contextualSpacing/>
            </w:pPr>
            <w:r>
              <w:t>*</w:t>
            </w:r>
          </w:p>
        </w:tc>
      </w:tr>
      <w:tr w:rsidR="00987F6F" w14:paraId="43AB2B2A" w14:textId="77777777" w:rsidTr="00A14207">
        <w:tc>
          <w:tcPr>
            <w:tcW w:w="468" w:type="dxa"/>
          </w:tcPr>
          <w:p w14:paraId="771C8ACD" w14:textId="27AAF48A" w:rsidR="00987F6F" w:rsidRDefault="00AC375C" w:rsidP="00325C1B">
            <w:pPr>
              <w:spacing w:before="100" w:beforeAutospacing="1" w:after="100" w:afterAutospacing="1"/>
              <w:contextualSpacing/>
            </w:pPr>
            <w:r>
              <w:t>6</w:t>
            </w:r>
          </w:p>
        </w:tc>
        <w:tc>
          <w:tcPr>
            <w:tcW w:w="5017" w:type="dxa"/>
          </w:tcPr>
          <w:p w14:paraId="1D05D7D5" w14:textId="64742886" w:rsidR="00987F6F" w:rsidRDefault="00987F6F" w:rsidP="00325C1B">
            <w:pPr>
              <w:spacing w:before="100" w:beforeAutospacing="1" w:after="100" w:afterAutospacing="1"/>
              <w:contextualSpacing/>
            </w:pPr>
            <w:r>
              <w:t xml:space="preserve">COVID-19 Supported Living Retainer Payment </w:t>
            </w:r>
          </w:p>
        </w:tc>
        <w:tc>
          <w:tcPr>
            <w:tcW w:w="1350" w:type="dxa"/>
          </w:tcPr>
          <w:p w14:paraId="516B0F0F" w14:textId="57438714" w:rsidR="00987F6F" w:rsidRDefault="00987F6F" w:rsidP="00325C1B">
            <w:pPr>
              <w:spacing w:before="100" w:beforeAutospacing="1" w:after="100" w:afterAutospacing="1"/>
              <w:contextualSpacing/>
            </w:pPr>
            <w:r>
              <w:t>Day</w:t>
            </w:r>
          </w:p>
        </w:tc>
        <w:tc>
          <w:tcPr>
            <w:tcW w:w="1440" w:type="dxa"/>
          </w:tcPr>
          <w:p w14:paraId="0435B583" w14:textId="54A1E168" w:rsidR="00987F6F" w:rsidRDefault="00AC375C" w:rsidP="00325C1B">
            <w:pPr>
              <w:spacing w:before="100" w:beforeAutospacing="1" w:after="100" w:afterAutospacing="1"/>
              <w:contextualSpacing/>
            </w:pPr>
            <w:r>
              <w:t>W1983</w:t>
            </w:r>
          </w:p>
        </w:tc>
        <w:tc>
          <w:tcPr>
            <w:tcW w:w="1800" w:type="dxa"/>
          </w:tcPr>
          <w:p w14:paraId="1B811FBC" w14:textId="61513622" w:rsidR="00987F6F" w:rsidRDefault="00987F6F" w:rsidP="00325C1B">
            <w:pPr>
              <w:spacing w:before="100" w:beforeAutospacing="1" w:after="100" w:afterAutospacing="1"/>
              <w:contextualSpacing/>
            </w:pPr>
            <w:r>
              <w:t>*</w:t>
            </w:r>
          </w:p>
        </w:tc>
      </w:tr>
      <w:tr w:rsidR="00987F6F" w14:paraId="45A5D3D5" w14:textId="77777777" w:rsidTr="00A14207">
        <w:tc>
          <w:tcPr>
            <w:tcW w:w="468" w:type="dxa"/>
          </w:tcPr>
          <w:p w14:paraId="18A3C91F" w14:textId="0396B103" w:rsidR="00987F6F" w:rsidRDefault="00AC375C" w:rsidP="00325C1B">
            <w:pPr>
              <w:spacing w:before="100" w:beforeAutospacing="1" w:after="100" w:afterAutospacing="1"/>
              <w:contextualSpacing/>
            </w:pPr>
            <w:r>
              <w:t>7</w:t>
            </w:r>
          </w:p>
        </w:tc>
        <w:tc>
          <w:tcPr>
            <w:tcW w:w="5017" w:type="dxa"/>
          </w:tcPr>
          <w:p w14:paraId="5E675C16" w14:textId="471180D4" w:rsidR="00987F6F" w:rsidRDefault="00987F6F" w:rsidP="00346C59">
            <w:pPr>
              <w:spacing w:before="100" w:beforeAutospacing="1" w:after="100" w:afterAutospacing="1"/>
              <w:contextualSpacing/>
            </w:pPr>
            <w:r>
              <w:t>COVID-19 Shared Living-Isolation Rate</w:t>
            </w:r>
          </w:p>
        </w:tc>
        <w:tc>
          <w:tcPr>
            <w:tcW w:w="1350" w:type="dxa"/>
          </w:tcPr>
          <w:p w14:paraId="5571844C" w14:textId="05881C76" w:rsidR="00987F6F" w:rsidRDefault="00987F6F" w:rsidP="00325C1B">
            <w:pPr>
              <w:spacing w:before="100" w:beforeAutospacing="1" w:after="100" w:afterAutospacing="1"/>
              <w:contextualSpacing/>
            </w:pPr>
            <w:r>
              <w:t>Month</w:t>
            </w:r>
          </w:p>
        </w:tc>
        <w:tc>
          <w:tcPr>
            <w:tcW w:w="1440" w:type="dxa"/>
          </w:tcPr>
          <w:p w14:paraId="3E44B02D" w14:textId="51B88D5E" w:rsidR="00987F6F" w:rsidRDefault="00987F6F" w:rsidP="00325C1B">
            <w:pPr>
              <w:spacing w:before="100" w:beforeAutospacing="1" w:after="100" w:afterAutospacing="1"/>
              <w:contextualSpacing/>
            </w:pPr>
            <w:r>
              <w:t>W2123</w:t>
            </w:r>
          </w:p>
        </w:tc>
        <w:tc>
          <w:tcPr>
            <w:tcW w:w="1800" w:type="dxa"/>
          </w:tcPr>
          <w:p w14:paraId="6C2795AC" w14:textId="30143953" w:rsidR="00987F6F" w:rsidRDefault="00987F6F" w:rsidP="00325C1B">
            <w:pPr>
              <w:spacing w:before="100" w:beforeAutospacing="1" w:after="100" w:afterAutospacing="1"/>
              <w:contextualSpacing/>
            </w:pPr>
            <w:r>
              <w:t>*</w:t>
            </w:r>
          </w:p>
        </w:tc>
      </w:tr>
    </w:tbl>
    <w:p w14:paraId="088A8B81" w14:textId="6160283B" w:rsidR="0087486D" w:rsidRDefault="0087486D" w:rsidP="00A14207">
      <w:pPr>
        <w:textAlignment w:val="baseline"/>
      </w:pPr>
    </w:p>
    <w:p w14:paraId="4B15EDB7" w14:textId="5B741999" w:rsidR="00C20ADB" w:rsidRPr="00A14207" w:rsidRDefault="0087486D" w:rsidP="00A14207">
      <w:pPr>
        <w:textAlignment w:val="baseline"/>
        <w:rPr>
          <w:rFonts w:eastAsia="Times New Roman" w:cs="Times New Roman"/>
          <w:color w:val="000000"/>
        </w:rPr>
      </w:pPr>
      <w:r>
        <w:rPr>
          <w:shd w:val="clear" w:color="auto" w:fill="FFFFFF"/>
        </w:rPr>
        <w:t>*No documentation needs to be sent with this invoice</w:t>
      </w:r>
      <w:r w:rsidR="00430F68">
        <w:rPr>
          <w:shd w:val="clear" w:color="auto" w:fill="FFFFFF"/>
        </w:rPr>
        <w:t xml:space="preserve"> for COVID</w:t>
      </w:r>
      <w:r w:rsidR="00E93A21">
        <w:rPr>
          <w:shd w:val="clear" w:color="auto" w:fill="FFFFFF"/>
        </w:rPr>
        <w:t>-</w:t>
      </w:r>
      <w:r w:rsidR="00430F68">
        <w:rPr>
          <w:shd w:val="clear" w:color="auto" w:fill="FFFFFF"/>
        </w:rPr>
        <w:t>19 services</w:t>
      </w:r>
      <w:r>
        <w:rPr>
          <w:shd w:val="clear" w:color="auto" w:fill="FFFFFF"/>
        </w:rPr>
        <w:t>; however p</w:t>
      </w:r>
      <w:r w:rsidR="00C20ADB" w:rsidRPr="00C20ADB">
        <w:rPr>
          <w:shd w:val="clear" w:color="auto" w:fill="FFFFFF"/>
        </w:rPr>
        <w:t>roviders must maintain case notes and documentation of direct servi</w:t>
      </w:r>
      <w:r w:rsidR="00C20ADB">
        <w:rPr>
          <w:shd w:val="clear" w:color="auto" w:fill="FFFFFF"/>
        </w:rPr>
        <w:t>ce delivery including the date o</w:t>
      </w:r>
      <w:r>
        <w:rPr>
          <w:shd w:val="clear" w:color="auto" w:fill="FFFFFF"/>
        </w:rPr>
        <w:t>f</w:t>
      </w:r>
      <w:r w:rsidR="00C20ADB" w:rsidRPr="00C20ADB">
        <w:rPr>
          <w:shd w:val="clear" w:color="auto" w:fill="FFFFFF"/>
        </w:rPr>
        <w:t xml:space="preserve"> service, service provided, time of service, and name of pe</w:t>
      </w:r>
      <w:r>
        <w:rPr>
          <w:shd w:val="clear" w:color="auto" w:fill="FFFFFF"/>
        </w:rPr>
        <w:t xml:space="preserve">rson that provided the </w:t>
      </w:r>
      <w:r w:rsidR="00C20ADB" w:rsidRPr="00C20ADB">
        <w:rPr>
          <w:shd w:val="clear" w:color="auto" w:fill="FFFFFF"/>
        </w:rPr>
        <w:t>service. </w:t>
      </w:r>
      <w:r w:rsidRPr="00C20ADB">
        <w:t>Information such a</w:t>
      </w:r>
      <w:r w:rsidR="00286F6E">
        <w:t>s</w:t>
      </w:r>
      <w:r w:rsidR="00987F6F">
        <w:t xml:space="preserve"> a</w:t>
      </w:r>
      <w:r w:rsidRPr="00C20ADB">
        <w:t xml:space="preserve"> </w:t>
      </w:r>
      <w:r w:rsidR="00987F6F">
        <w:t xml:space="preserve">positive </w:t>
      </w:r>
      <w:r w:rsidRPr="00C20ADB">
        <w:t>COVID</w:t>
      </w:r>
      <w:r w:rsidR="00987F6F">
        <w:t>-19 test</w:t>
      </w:r>
      <w:r w:rsidRPr="00C20ADB">
        <w:t xml:space="preserve"> determination and case notes</w:t>
      </w:r>
      <w:r w:rsidR="00286F6E">
        <w:t xml:space="preserve"> for the isolation rate</w:t>
      </w:r>
      <w:r w:rsidRPr="00C20ADB">
        <w:t xml:space="preserve"> must be submitted to the DDA </w:t>
      </w:r>
      <w:r w:rsidRPr="00C20ADB">
        <w:rPr>
          <w:shd w:val="clear" w:color="auto" w:fill="FFFFFF"/>
        </w:rPr>
        <w:t>upon request.</w:t>
      </w:r>
    </w:p>
    <w:p w14:paraId="2E2135B3" w14:textId="77777777" w:rsidR="00C20ADB" w:rsidRDefault="00C20ADB" w:rsidP="0087486D"/>
    <w:p w14:paraId="09647E34" w14:textId="4635EBD7" w:rsidR="00325C1B" w:rsidRDefault="00325C1B" w:rsidP="00325C1B">
      <w:pPr>
        <w:pStyle w:val="Heading1"/>
      </w:pPr>
      <w:bookmarkStart w:id="6" w:name="_Toc39495131"/>
      <w:r>
        <w:t>Billing Prerequisites &amp; Requirements</w:t>
      </w:r>
      <w:bookmarkEnd w:id="6"/>
    </w:p>
    <w:p w14:paraId="1278E193" w14:textId="77777777" w:rsidR="00230DCF" w:rsidRDefault="00230DCF" w:rsidP="00325C1B"/>
    <w:p w14:paraId="3F8E7BB0" w14:textId="53364100" w:rsidR="00E17D26" w:rsidRDefault="00AA1940" w:rsidP="00325C1B">
      <w:r>
        <w:t xml:space="preserve">To support the immediate need for services and supports and provide flexibility with service requirements and limits, the DDA is issuing temporary exceptions to services requirements as outlined in the guidance on DDA’s </w:t>
      </w:r>
      <w:r>
        <w:rPr>
          <w:rFonts w:cs="Times New Roman"/>
        </w:rPr>
        <w:t xml:space="preserve">website </w:t>
      </w:r>
      <w:r w:rsidRPr="00A14207">
        <w:t xml:space="preserve">here: </w:t>
      </w:r>
      <w:hyperlink r:id="rId22" w:history="1">
        <w:r w:rsidRPr="00AA1940">
          <w:rPr>
            <w:color w:val="0000FF"/>
            <w:u w:val="single"/>
          </w:rPr>
          <w:t>https://dda.health.maryland.gov/Documents/COVID%2019%20Documents/Appendix%20K/Topic%20Specific%20Guidance/4-DDA%20Appendix%20K%204-Execptions%20to%20Pre%20Authorization%20and%20Service%20Requirements.pdf</w:t>
        </w:r>
      </w:hyperlink>
    </w:p>
    <w:p w14:paraId="135AFB80" w14:textId="77777777" w:rsidR="00AA1940" w:rsidRDefault="00AA1940" w:rsidP="00325C1B"/>
    <w:p w14:paraId="246F12C7" w14:textId="06D3ABE5" w:rsidR="00AA1940" w:rsidRDefault="00AA1940" w:rsidP="00325C1B">
      <w:r>
        <w:t xml:space="preserve">To support the immediate need for new COVID-19 related services and supports, the DDA is issuing a new temporary services authorization request process that can be found on DDA’s website here: </w:t>
      </w:r>
      <w:hyperlink r:id="rId23" w:history="1">
        <w:r w:rsidRPr="00AA1940">
          <w:rPr>
            <w:color w:val="0000FF"/>
            <w:u w:val="single"/>
          </w:rPr>
          <w:t>https://dda.health.maryland.gov/Documents/COVID%2019%20Documents/Appendix%20K/Topic%20S</w:t>
        </w:r>
        <w:r w:rsidRPr="00AA1940">
          <w:rPr>
            <w:color w:val="0000FF"/>
            <w:u w:val="single"/>
          </w:rPr>
          <w:lastRenderedPageBreak/>
          <w:t>pecific%20Guidance/5-DDA%20Appendix%20K%205-COVID-19%20New%20Services%20Authorization%20Request%20Process.pdf</w:t>
        </w:r>
      </w:hyperlink>
    </w:p>
    <w:p w14:paraId="209CF971" w14:textId="77777777" w:rsidR="000A1CF5" w:rsidRDefault="000A1CF5" w:rsidP="00325C1B"/>
    <w:p w14:paraId="411A26D0" w14:textId="0AC1E356" w:rsidR="000A1CF5" w:rsidRDefault="000A1CF5" w:rsidP="00325C1B">
      <w:r>
        <w:t>Providers will complete the Revised Cost Detail Sheet or DDA COVID-19 Request and Notification - Service Authorization form (DDACOVIDForm#1) as applicable.</w:t>
      </w:r>
    </w:p>
    <w:p w14:paraId="2950EDA5" w14:textId="00D9A869" w:rsidR="00325C1B" w:rsidRDefault="00325C1B" w:rsidP="00325C1B">
      <w:pPr>
        <w:pStyle w:val="Heading1"/>
      </w:pPr>
      <w:bookmarkStart w:id="7" w:name="_Toc39495132"/>
      <w:r>
        <w:t>Invoicing Instructions</w:t>
      </w:r>
      <w:bookmarkEnd w:id="7"/>
    </w:p>
    <w:p w14:paraId="42726F99" w14:textId="77777777" w:rsidR="00230DCF" w:rsidRDefault="00230DCF" w:rsidP="00325C1B"/>
    <w:p w14:paraId="127B3D78" w14:textId="754C6E6F" w:rsidR="00515DD0" w:rsidRDefault="00325C1B" w:rsidP="00325C1B">
      <w:r>
        <w:t xml:space="preserve">These procedures do </w:t>
      </w:r>
      <w:r w:rsidRPr="0087747B">
        <w:rPr>
          <w:b/>
        </w:rPr>
        <w:t xml:space="preserve">not </w:t>
      </w:r>
      <w:r>
        <w:t xml:space="preserve">apply to any add-on services and/or </w:t>
      </w:r>
      <w:r w:rsidR="00B8523F">
        <w:t xml:space="preserve">FPS services </w:t>
      </w:r>
      <w:r>
        <w:t xml:space="preserve">currently billed through PCIS2. Those services are paid through the quarterly prepayment and PCIS2 automatically submits claims to Medicaid. These procedures are for services and/or costs identified </w:t>
      </w:r>
      <w:r w:rsidR="00E45C8E">
        <w:t xml:space="preserve">as </w:t>
      </w:r>
      <w:r w:rsidR="004705AE">
        <w:t xml:space="preserve">Non-FPS </w:t>
      </w:r>
      <w:r w:rsidR="00E45C8E">
        <w:t>S</w:t>
      </w:r>
      <w:r w:rsidR="001C5F60">
        <w:t xml:space="preserve">ervices and listed under the participant’s </w:t>
      </w:r>
      <w:r w:rsidR="00B8523F">
        <w:t>services under the Community Pathways Non-FPS service on the Services screen and/or Supplemental S</w:t>
      </w:r>
      <w:r w:rsidR="004705AE">
        <w:t xml:space="preserve">ervices </w:t>
      </w:r>
      <w:r w:rsidR="00B8523F">
        <w:t>list</w:t>
      </w:r>
      <w:r w:rsidR="004705AE">
        <w:t xml:space="preserve"> in PCIS</w:t>
      </w:r>
      <w:r w:rsidR="00E20A60">
        <w:t>2</w:t>
      </w:r>
      <w:r w:rsidR="007B647E">
        <w:t xml:space="preserve"> and for</w:t>
      </w:r>
      <w:r w:rsidR="000A1CF5">
        <w:t xml:space="preserve"> COVID-19 r</w:t>
      </w:r>
      <w:r w:rsidR="00515DD0">
        <w:t xml:space="preserve">elated costs identified in the DDA Appendix K </w:t>
      </w:r>
      <w:r w:rsidR="007B647E">
        <w:t>guidance</w:t>
      </w:r>
      <w:r w:rsidR="00515DD0">
        <w:t xml:space="preserve"> </w:t>
      </w:r>
      <w:r w:rsidR="000A1CF5">
        <w:t xml:space="preserve">documents </w:t>
      </w:r>
      <w:r w:rsidR="00515DD0">
        <w:t xml:space="preserve">to be billed using this invoice. </w:t>
      </w:r>
    </w:p>
    <w:p w14:paraId="4D32AE25" w14:textId="77777777" w:rsidR="009E675F" w:rsidRDefault="009E675F" w:rsidP="00325C1B"/>
    <w:p w14:paraId="2C4F8E3F" w14:textId="0D7C0100" w:rsidR="009E675F" w:rsidRDefault="009E675F" w:rsidP="00325C1B">
      <w:pPr>
        <w:rPr>
          <w:b/>
          <w:i/>
        </w:rPr>
      </w:pPr>
      <w:r w:rsidRPr="00642173">
        <w:rPr>
          <w:b/>
          <w:i/>
          <w:u w:val="single"/>
        </w:rPr>
        <w:t xml:space="preserve">COVID-19 </w:t>
      </w:r>
      <w:r w:rsidR="00230DCF">
        <w:rPr>
          <w:b/>
          <w:i/>
          <w:u w:val="single"/>
        </w:rPr>
        <w:t>Services Billing Instructions</w:t>
      </w:r>
      <w:r w:rsidRPr="00642173">
        <w:rPr>
          <w:b/>
          <w:i/>
        </w:rPr>
        <w:t xml:space="preserve">: </w:t>
      </w:r>
    </w:p>
    <w:p w14:paraId="29FEBB4D" w14:textId="1E8EFE3E" w:rsidR="00230DCF" w:rsidRPr="00796C2E" w:rsidRDefault="00C02C29" w:rsidP="00796C2E">
      <w:pPr>
        <w:pStyle w:val="ListParagraph"/>
        <w:numPr>
          <w:ilvl w:val="0"/>
          <w:numId w:val="37"/>
        </w:numPr>
        <w:rPr>
          <w:b/>
          <w:i/>
          <w:sz w:val="24"/>
          <w:szCs w:val="24"/>
        </w:rPr>
      </w:pPr>
      <w:r w:rsidRPr="00796C2E">
        <w:rPr>
          <w:b/>
          <w:i/>
          <w:sz w:val="24"/>
          <w:szCs w:val="24"/>
          <w:u w:val="single"/>
        </w:rPr>
        <w:t>COVID-19 Nursing services Isolation Rates</w:t>
      </w:r>
      <w:r w:rsidRPr="00796C2E">
        <w:rPr>
          <w:b/>
          <w:i/>
          <w:sz w:val="24"/>
          <w:szCs w:val="24"/>
        </w:rPr>
        <w:t xml:space="preserve">- The </w:t>
      </w:r>
      <w:r w:rsidR="00796C2E">
        <w:rPr>
          <w:b/>
          <w:i/>
          <w:sz w:val="24"/>
          <w:szCs w:val="24"/>
        </w:rPr>
        <w:t>i</w:t>
      </w:r>
      <w:r w:rsidRPr="00796C2E">
        <w:rPr>
          <w:b/>
          <w:i/>
          <w:sz w:val="24"/>
          <w:szCs w:val="24"/>
        </w:rPr>
        <w:t xml:space="preserve">solation </w:t>
      </w:r>
      <w:r w:rsidR="00796C2E">
        <w:rPr>
          <w:b/>
          <w:i/>
          <w:sz w:val="24"/>
          <w:szCs w:val="24"/>
        </w:rPr>
        <w:t>r</w:t>
      </w:r>
      <w:r w:rsidRPr="00796C2E">
        <w:rPr>
          <w:b/>
          <w:i/>
          <w:sz w:val="24"/>
          <w:szCs w:val="24"/>
        </w:rPr>
        <w:t xml:space="preserve">ate </w:t>
      </w:r>
      <w:r w:rsidR="00796C2E">
        <w:rPr>
          <w:b/>
          <w:i/>
          <w:sz w:val="24"/>
          <w:szCs w:val="24"/>
        </w:rPr>
        <w:t>are</w:t>
      </w:r>
      <w:r w:rsidR="00796C2E" w:rsidRPr="00796C2E">
        <w:rPr>
          <w:b/>
          <w:i/>
          <w:sz w:val="24"/>
          <w:szCs w:val="24"/>
        </w:rPr>
        <w:t xml:space="preserve"> </w:t>
      </w:r>
      <w:r w:rsidRPr="00796C2E">
        <w:rPr>
          <w:b/>
          <w:i/>
          <w:sz w:val="24"/>
          <w:szCs w:val="24"/>
        </w:rPr>
        <w:t>prepopulated for these services and will calculate the amount based on the number of units entered.</w:t>
      </w:r>
    </w:p>
    <w:p w14:paraId="24CB72C3" w14:textId="79CCA36B" w:rsidR="00C02C29" w:rsidRPr="00796C2E" w:rsidRDefault="00C02C29" w:rsidP="00796C2E">
      <w:pPr>
        <w:pStyle w:val="ListParagraph"/>
        <w:numPr>
          <w:ilvl w:val="0"/>
          <w:numId w:val="37"/>
        </w:numPr>
        <w:rPr>
          <w:b/>
          <w:i/>
          <w:sz w:val="24"/>
          <w:szCs w:val="24"/>
        </w:rPr>
      </w:pPr>
      <w:r w:rsidRPr="00796C2E">
        <w:rPr>
          <w:b/>
          <w:i/>
          <w:sz w:val="24"/>
          <w:szCs w:val="24"/>
          <w:u w:val="single"/>
        </w:rPr>
        <w:t>COVID-19 Respite Services</w:t>
      </w:r>
      <w:r w:rsidRPr="00796C2E">
        <w:rPr>
          <w:b/>
          <w:i/>
          <w:sz w:val="24"/>
          <w:szCs w:val="24"/>
        </w:rPr>
        <w:t>- Invoice these services</w:t>
      </w:r>
      <w:r w:rsidR="00796C2E">
        <w:rPr>
          <w:b/>
          <w:i/>
          <w:sz w:val="24"/>
          <w:szCs w:val="24"/>
        </w:rPr>
        <w:t xml:space="preserve"> for up </w:t>
      </w:r>
      <w:r w:rsidR="00796C2E" w:rsidRPr="00796C2E">
        <w:rPr>
          <w:b/>
          <w:i/>
          <w:sz w:val="24"/>
          <w:szCs w:val="24"/>
        </w:rPr>
        <w:t xml:space="preserve">to 15 days or 360 hours </w:t>
      </w:r>
      <w:r w:rsidR="00796C2E">
        <w:rPr>
          <w:b/>
          <w:i/>
          <w:sz w:val="24"/>
          <w:szCs w:val="24"/>
        </w:rPr>
        <w:t xml:space="preserve">during the time period covered by Appendix K. </w:t>
      </w:r>
    </w:p>
    <w:p w14:paraId="34D5A76E" w14:textId="31DB2D6F" w:rsidR="009E675F" w:rsidRPr="00642173" w:rsidRDefault="009E675F" w:rsidP="00642173">
      <w:pPr>
        <w:pStyle w:val="ListParagraph"/>
        <w:numPr>
          <w:ilvl w:val="0"/>
          <w:numId w:val="36"/>
        </w:numPr>
        <w:rPr>
          <w:b/>
          <w:i/>
          <w:sz w:val="24"/>
          <w:szCs w:val="24"/>
        </w:rPr>
      </w:pPr>
      <w:r w:rsidRPr="00796C2E">
        <w:rPr>
          <w:b/>
          <w:i/>
          <w:sz w:val="24"/>
          <w:szCs w:val="24"/>
          <w:u w:val="single"/>
        </w:rPr>
        <w:t>C</w:t>
      </w:r>
      <w:r w:rsidRPr="00C02C29">
        <w:rPr>
          <w:b/>
          <w:i/>
          <w:sz w:val="24"/>
          <w:szCs w:val="24"/>
          <w:u w:val="single"/>
        </w:rPr>
        <w:t>O</w:t>
      </w:r>
      <w:r w:rsidRPr="00642173">
        <w:rPr>
          <w:b/>
          <w:i/>
          <w:sz w:val="24"/>
          <w:szCs w:val="24"/>
          <w:u w:val="single"/>
        </w:rPr>
        <w:t>VID-19 Supported Living</w:t>
      </w:r>
      <w:r w:rsidR="00C02C29">
        <w:rPr>
          <w:b/>
          <w:i/>
          <w:sz w:val="24"/>
          <w:szCs w:val="24"/>
          <w:u w:val="single"/>
        </w:rPr>
        <w:t>-</w:t>
      </w:r>
      <w:r w:rsidRPr="00642173">
        <w:rPr>
          <w:b/>
          <w:i/>
          <w:sz w:val="24"/>
          <w:szCs w:val="24"/>
          <w:u w:val="single"/>
        </w:rPr>
        <w:t xml:space="preserve"> Retainer Payment</w:t>
      </w:r>
      <w:r w:rsidRPr="00642173">
        <w:rPr>
          <w:b/>
          <w:i/>
          <w:sz w:val="24"/>
          <w:szCs w:val="24"/>
        </w:rPr>
        <w:t xml:space="preserve">- Invoice the amount authorized in PCIS </w:t>
      </w:r>
      <w:r w:rsidR="00601A4C" w:rsidRPr="00642173">
        <w:rPr>
          <w:b/>
          <w:i/>
          <w:sz w:val="24"/>
          <w:szCs w:val="24"/>
        </w:rPr>
        <w:t xml:space="preserve">on relevant dates of service. </w:t>
      </w:r>
    </w:p>
    <w:p w14:paraId="0F11FC2C" w14:textId="693F2681" w:rsidR="009E675F" w:rsidRPr="00642173" w:rsidRDefault="009E675F" w:rsidP="00642173">
      <w:pPr>
        <w:pStyle w:val="ListParagraph"/>
        <w:numPr>
          <w:ilvl w:val="0"/>
          <w:numId w:val="36"/>
        </w:numPr>
        <w:rPr>
          <w:b/>
          <w:i/>
          <w:sz w:val="24"/>
          <w:szCs w:val="24"/>
        </w:rPr>
      </w:pPr>
      <w:r w:rsidRPr="00642173">
        <w:rPr>
          <w:b/>
          <w:i/>
          <w:sz w:val="24"/>
          <w:szCs w:val="24"/>
          <w:u w:val="single"/>
        </w:rPr>
        <w:t>COVID-19 Supported Living- Isolation Rate</w:t>
      </w:r>
      <w:r w:rsidRPr="00642173">
        <w:rPr>
          <w:b/>
          <w:i/>
          <w:sz w:val="24"/>
          <w:szCs w:val="24"/>
        </w:rPr>
        <w:t>- To invoice for isolation days, increase the authorized daily rate from PCIS2 by 50% and invoice</w:t>
      </w:r>
      <w:r w:rsidR="00601A4C" w:rsidRPr="00642173">
        <w:rPr>
          <w:b/>
          <w:i/>
          <w:sz w:val="24"/>
          <w:szCs w:val="24"/>
        </w:rPr>
        <w:t xml:space="preserve"> the full 150% rate</w:t>
      </w:r>
      <w:r w:rsidRPr="00642173">
        <w:rPr>
          <w:b/>
          <w:i/>
          <w:sz w:val="24"/>
          <w:szCs w:val="24"/>
        </w:rPr>
        <w:t xml:space="preserve"> on the relevant dates of service for </w:t>
      </w:r>
      <w:r w:rsidR="00C02C29">
        <w:rPr>
          <w:b/>
          <w:i/>
          <w:sz w:val="24"/>
          <w:szCs w:val="24"/>
        </w:rPr>
        <w:t>the isolated individual.</w:t>
      </w:r>
      <w:r w:rsidRPr="00642173">
        <w:rPr>
          <w:b/>
          <w:i/>
          <w:sz w:val="24"/>
          <w:szCs w:val="24"/>
        </w:rPr>
        <w:t xml:space="preserve"> </w:t>
      </w:r>
    </w:p>
    <w:p w14:paraId="2FF2530D" w14:textId="36B503F9" w:rsidR="009E675F" w:rsidRPr="00642173" w:rsidRDefault="009E675F" w:rsidP="00642173">
      <w:pPr>
        <w:pStyle w:val="ListParagraph"/>
        <w:numPr>
          <w:ilvl w:val="0"/>
          <w:numId w:val="36"/>
        </w:numPr>
        <w:rPr>
          <w:b/>
          <w:i/>
          <w:sz w:val="24"/>
          <w:szCs w:val="24"/>
        </w:rPr>
      </w:pPr>
      <w:r w:rsidRPr="00642173">
        <w:rPr>
          <w:b/>
          <w:i/>
          <w:sz w:val="24"/>
          <w:szCs w:val="24"/>
          <w:u w:val="single"/>
        </w:rPr>
        <w:t>COVID-19 Shared Living- Isolation Rate</w:t>
      </w:r>
      <w:r w:rsidRPr="00642173">
        <w:rPr>
          <w:b/>
          <w:i/>
          <w:sz w:val="24"/>
          <w:szCs w:val="24"/>
        </w:rPr>
        <w:t xml:space="preserve">- Submit additional isolation costs at 150% of the costs </w:t>
      </w:r>
      <w:r w:rsidR="00601A4C" w:rsidRPr="00642173">
        <w:rPr>
          <w:b/>
          <w:i/>
          <w:sz w:val="24"/>
          <w:szCs w:val="24"/>
        </w:rPr>
        <w:t xml:space="preserve">to the Regional Office who will </w:t>
      </w:r>
      <w:r w:rsidRPr="00642173">
        <w:rPr>
          <w:b/>
          <w:i/>
          <w:sz w:val="24"/>
          <w:szCs w:val="24"/>
        </w:rPr>
        <w:t xml:space="preserve">authorize the costs and update the contract amount in PCIS2. Include the additional costs on this invoice along with a 1500 form for the amount of the invoice </w:t>
      </w:r>
      <w:r w:rsidR="00796C2E">
        <w:rPr>
          <w:b/>
          <w:i/>
          <w:sz w:val="24"/>
          <w:szCs w:val="24"/>
        </w:rPr>
        <w:t>billed on the</w:t>
      </w:r>
      <w:r w:rsidRPr="00642173">
        <w:rPr>
          <w:b/>
          <w:i/>
          <w:sz w:val="24"/>
          <w:szCs w:val="24"/>
        </w:rPr>
        <w:t xml:space="preserve"> last day of the month of service </w:t>
      </w:r>
      <w:r w:rsidR="00601A4C" w:rsidRPr="00642173">
        <w:rPr>
          <w:b/>
          <w:i/>
          <w:sz w:val="24"/>
          <w:szCs w:val="24"/>
        </w:rPr>
        <w:t>that included</w:t>
      </w:r>
      <w:r w:rsidRPr="00642173">
        <w:rPr>
          <w:b/>
          <w:i/>
          <w:sz w:val="24"/>
          <w:szCs w:val="24"/>
        </w:rPr>
        <w:t xml:space="preserve"> the isolation costs. </w:t>
      </w:r>
    </w:p>
    <w:p w14:paraId="0CCD55DA" w14:textId="1DBE4F36" w:rsidR="00325C1B" w:rsidRPr="00365929" w:rsidRDefault="00325C1B" w:rsidP="00325C1B">
      <w:pPr>
        <w:pStyle w:val="Heading2"/>
        <w:rPr>
          <w:rFonts w:ascii="Georgia" w:hAnsi="Georgia"/>
          <w:sz w:val="24"/>
          <w:szCs w:val="24"/>
        </w:rPr>
      </w:pPr>
      <w:bookmarkStart w:id="8" w:name="_Toc39495133"/>
      <w:r w:rsidRPr="00365929">
        <w:rPr>
          <w:rFonts w:ascii="Georgia" w:hAnsi="Georgia"/>
          <w:sz w:val="24"/>
          <w:szCs w:val="24"/>
        </w:rPr>
        <w:t>Frequency and Timing</w:t>
      </w:r>
      <w:bookmarkEnd w:id="8"/>
    </w:p>
    <w:p w14:paraId="3C633B07" w14:textId="05421F45" w:rsidR="00325C1B" w:rsidRDefault="005B2074" w:rsidP="00325C1B">
      <w:r>
        <w:t>Effective July 1, 2019</w:t>
      </w:r>
      <w:r w:rsidR="00325C1B">
        <w:t xml:space="preserve">, </w:t>
      </w:r>
      <w:r w:rsidR="004705AE">
        <w:t xml:space="preserve">non-FPS </w:t>
      </w:r>
      <w:r w:rsidR="001C5F60">
        <w:t>services</w:t>
      </w:r>
      <w:r w:rsidR="00325C1B">
        <w:t xml:space="preserve"> costs will be paid on a reimbursement funding system using the invoice template and procedures outlined in this guidance. </w:t>
      </w:r>
    </w:p>
    <w:p w14:paraId="45DC432D" w14:textId="34C7043C" w:rsidR="00325C1B" w:rsidRDefault="00325C1B" w:rsidP="00325C1B">
      <w:r>
        <w:t xml:space="preserve">A provider may submit a </w:t>
      </w:r>
      <w:r w:rsidR="004705AE">
        <w:t xml:space="preserve">non-FPS </w:t>
      </w:r>
      <w:r w:rsidR="001C5F60">
        <w:t>service</w:t>
      </w:r>
      <w:r>
        <w:t xml:space="preserve"> invoice at any point during the state fiscal year. A provider has two months after the end of a fiscal year, September 1</w:t>
      </w:r>
      <w:r w:rsidRPr="00F031F6">
        <w:rPr>
          <w:vertAlign w:val="superscript"/>
        </w:rPr>
        <w:t>st</w:t>
      </w:r>
      <w:r>
        <w:t>, to submit invoices for that fiscal year. Charges incurred for the prior fiscal year will not be processed for payment after the two month deadline of September 1</w:t>
      </w:r>
      <w:r w:rsidRPr="00CD4ED4">
        <w:rPr>
          <w:vertAlign w:val="superscript"/>
        </w:rPr>
        <w:t>st</w:t>
      </w:r>
      <w:r>
        <w:t xml:space="preserve">. </w:t>
      </w:r>
      <w:r w:rsidR="00C11288">
        <w:t xml:space="preserve"> </w:t>
      </w:r>
    </w:p>
    <w:p w14:paraId="2E09E1B3" w14:textId="3E1DB09D" w:rsidR="00325C1B" w:rsidRPr="00365929" w:rsidRDefault="00325C1B" w:rsidP="00325C1B">
      <w:pPr>
        <w:pStyle w:val="Heading2"/>
        <w:rPr>
          <w:rFonts w:ascii="Georgia" w:hAnsi="Georgia"/>
          <w:sz w:val="24"/>
          <w:szCs w:val="24"/>
        </w:rPr>
      </w:pPr>
      <w:bookmarkStart w:id="9" w:name="_Toc39495134"/>
      <w:r w:rsidRPr="00365929">
        <w:rPr>
          <w:rFonts w:ascii="Georgia" w:hAnsi="Georgia"/>
          <w:sz w:val="24"/>
          <w:szCs w:val="24"/>
        </w:rPr>
        <w:t>Invoicing Submission Requirements</w:t>
      </w:r>
      <w:bookmarkEnd w:id="9"/>
    </w:p>
    <w:p w14:paraId="4C246D63" w14:textId="77777777" w:rsidR="00325C1B" w:rsidRDefault="00325C1B" w:rsidP="00325C1B">
      <w:r>
        <w:t>The invoice must be completed accurately to process payment to the provider. For an invoice to be processed the provider will need to submit all of the following to their Regional Office:</w:t>
      </w:r>
    </w:p>
    <w:p w14:paraId="2C85553E" w14:textId="77777777" w:rsidR="00325C1B" w:rsidRDefault="00325C1B" w:rsidP="00325C1B">
      <w:pPr>
        <w:pStyle w:val="ListParagraph"/>
        <w:numPr>
          <w:ilvl w:val="0"/>
          <w:numId w:val="17"/>
        </w:numPr>
      </w:pPr>
      <w:r>
        <w:t>An electronic copy of the invoice (excel file)</w:t>
      </w:r>
    </w:p>
    <w:p w14:paraId="1224030B" w14:textId="77777777" w:rsidR="00325C1B" w:rsidRDefault="00325C1B" w:rsidP="00325C1B">
      <w:pPr>
        <w:pStyle w:val="ListParagraph"/>
        <w:numPr>
          <w:ilvl w:val="0"/>
          <w:numId w:val="17"/>
        </w:numPr>
      </w:pPr>
      <w:r>
        <w:t>A printed copy of the cover page with the provider signature in blue ink</w:t>
      </w:r>
    </w:p>
    <w:p w14:paraId="0A957678" w14:textId="77777777" w:rsidR="00325C1B" w:rsidRDefault="00325C1B" w:rsidP="00325C1B">
      <w:pPr>
        <w:pStyle w:val="ListParagraph"/>
        <w:numPr>
          <w:ilvl w:val="0"/>
          <w:numId w:val="17"/>
        </w:numPr>
      </w:pPr>
      <w:r>
        <w:lastRenderedPageBreak/>
        <w:t>Corresponding Medical Assistance claims for all waivered services for waivered individuals or the Remittance Advice of claims that were submitted through eMedicaid</w:t>
      </w:r>
    </w:p>
    <w:p w14:paraId="22EE9949" w14:textId="77777777" w:rsidR="00325C1B" w:rsidRDefault="00325C1B" w:rsidP="00325C1B">
      <w:pPr>
        <w:pStyle w:val="ListParagraph"/>
        <w:numPr>
          <w:ilvl w:val="0"/>
          <w:numId w:val="17"/>
        </w:numPr>
      </w:pPr>
      <w:r>
        <w:t>Receipts, if applicable</w:t>
      </w:r>
    </w:p>
    <w:p w14:paraId="367B4822" w14:textId="77777777" w:rsidR="00325C1B" w:rsidRDefault="00325C1B" w:rsidP="00325C1B">
      <w:r>
        <w:t xml:space="preserve">Electronic copies should be emailed to: </w:t>
      </w:r>
    </w:p>
    <w:p w14:paraId="328B0630" w14:textId="1F9B9844" w:rsidR="00325C1B" w:rsidRPr="00B10FC2" w:rsidRDefault="00325C1B" w:rsidP="00325C1B">
      <w:pPr>
        <w:pStyle w:val="ListParagraph"/>
        <w:numPr>
          <w:ilvl w:val="0"/>
          <w:numId w:val="20"/>
        </w:numPr>
        <w:rPr>
          <w:sz w:val="24"/>
          <w:szCs w:val="24"/>
        </w:rPr>
      </w:pPr>
      <w:r w:rsidRPr="00B10FC2">
        <w:rPr>
          <w:sz w:val="24"/>
          <w:szCs w:val="24"/>
        </w:rPr>
        <w:t xml:space="preserve">Central Maryland Regional Office (CMRO): </w:t>
      </w:r>
      <w:hyperlink r:id="rId24" w:history="1">
        <w:r w:rsidR="00E80D3E" w:rsidRPr="00B10FC2">
          <w:rPr>
            <w:rStyle w:val="Hyperlink"/>
            <w:sz w:val="24"/>
            <w:szCs w:val="24"/>
          </w:rPr>
          <w:t>mathew.abraham@maryland.gov</w:t>
        </w:r>
      </w:hyperlink>
    </w:p>
    <w:p w14:paraId="1A791E01" w14:textId="77777777" w:rsidR="00325C1B" w:rsidRPr="00B10FC2" w:rsidRDefault="00325C1B" w:rsidP="00325C1B">
      <w:pPr>
        <w:pStyle w:val="ListParagraph"/>
        <w:numPr>
          <w:ilvl w:val="0"/>
          <w:numId w:val="20"/>
        </w:numPr>
        <w:rPr>
          <w:sz w:val="24"/>
          <w:szCs w:val="24"/>
        </w:rPr>
      </w:pPr>
      <w:r w:rsidRPr="00B10FC2">
        <w:rPr>
          <w:sz w:val="24"/>
          <w:szCs w:val="24"/>
        </w:rPr>
        <w:t xml:space="preserve">Eastern Shore Regional Office (ESRO): </w:t>
      </w:r>
      <w:hyperlink r:id="rId25" w:history="1">
        <w:r w:rsidRPr="00B10FC2">
          <w:rPr>
            <w:rStyle w:val="Hyperlink"/>
            <w:sz w:val="24"/>
            <w:szCs w:val="24"/>
          </w:rPr>
          <w:t>renee.benjamin@maryland.gov</w:t>
        </w:r>
      </w:hyperlink>
      <w:r w:rsidRPr="00B10FC2">
        <w:rPr>
          <w:sz w:val="24"/>
          <w:szCs w:val="24"/>
        </w:rPr>
        <w:t xml:space="preserve"> and copy </w:t>
      </w:r>
      <w:hyperlink r:id="rId26" w:history="1">
        <w:r w:rsidRPr="00B10FC2">
          <w:rPr>
            <w:rStyle w:val="Hyperlink"/>
            <w:sz w:val="24"/>
            <w:szCs w:val="24"/>
          </w:rPr>
          <w:t>eharris@maryland.gov</w:t>
        </w:r>
      </w:hyperlink>
    </w:p>
    <w:p w14:paraId="3380D98A" w14:textId="77777777" w:rsidR="00325C1B" w:rsidRPr="0049563C" w:rsidRDefault="00325C1B" w:rsidP="00325C1B">
      <w:pPr>
        <w:pStyle w:val="ListParagraph"/>
        <w:numPr>
          <w:ilvl w:val="0"/>
          <w:numId w:val="20"/>
        </w:numPr>
        <w:rPr>
          <w:rStyle w:val="Hyperlink"/>
          <w:color w:val="auto"/>
          <w:sz w:val="24"/>
          <w:szCs w:val="24"/>
          <w:u w:val="none"/>
        </w:rPr>
      </w:pPr>
      <w:r w:rsidRPr="00B10FC2">
        <w:rPr>
          <w:sz w:val="24"/>
          <w:szCs w:val="24"/>
        </w:rPr>
        <w:t xml:space="preserve">Southern Maryland Regional Office (SMRO): </w:t>
      </w:r>
      <w:hyperlink r:id="rId27" w:history="1">
        <w:r w:rsidRPr="00B10FC2">
          <w:rPr>
            <w:rStyle w:val="Hyperlink"/>
            <w:sz w:val="24"/>
            <w:szCs w:val="24"/>
          </w:rPr>
          <w:t>terrie.logue@maryland.gov</w:t>
        </w:r>
      </w:hyperlink>
    </w:p>
    <w:p w14:paraId="684DC82E" w14:textId="1B994757" w:rsidR="00325C1B" w:rsidRPr="00365929" w:rsidRDefault="00325C1B" w:rsidP="00A14207">
      <w:pPr>
        <w:pStyle w:val="ListParagraph"/>
        <w:numPr>
          <w:ilvl w:val="0"/>
          <w:numId w:val="20"/>
        </w:numPr>
        <w:rPr>
          <w:rFonts w:ascii="Georgia" w:hAnsi="Georgia"/>
        </w:rPr>
      </w:pPr>
      <w:r w:rsidRPr="00A14207">
        <w:rPr>
          <w:sz w:val="24"/>
          <w:szCs w:val="24"/>
        </w:rPr>
        <w:t xml:space="preserve">Western Maryland Regional Office (WMRO): </w:t>
      </w:r>
      <w:hyperlink r:id="rId28" w:history="1">
        <w:r w:rsidR="004705AE" w:rsidRPr="0049563C">
          <w:rPr>
            <w:rStyle w:val="Hyperlink"/>
            <w:sz w:val="24"/>
            <w:szCs w:val="24"/>
          </w:rPr>
          <w:t>wmro.supportinv@maryland.gov</w:t>
        </w:r>
      </w:hyperlink>
      <w:r w:rsidRPr="00A14207">
        <w:rPr>
          <w:sz w:val="24"/>
          <w:szCs w:val="24"/>
        </w:rPr>
        <w:t xml:space="preserve"> </w:t>
      </w:r>
      <w:r w:rsidRPr="00365929">
        <w:rPr>
          <w:rFonts w:ascii="Georgia" w:hAnsi="Georgia"/>
        </w:rPr>
        <w:t>Invoice Template Instructions</w:t>
      </w:r>
    </w:p>
    <w:p w14:paraId="0B05685A" w14:textId="3B6FC6EB" w:rsidR="00325C1B" w:rsidRDefault="00325C1B" w:rsidP="00325C1B">
      <w:r w:rsidRPr="00DD418D">
        <w:t xml:space="preserve">The </w:t>
      </w:r>
      <w:r w:rsidR="00C83296">
        <w:t xml:space="preserve">Non-FPS </w:t>
      </w:r>
      <w:r w:rsidR="0074546B">
        <w:t>services</w:t>
      </w:r>
      <w:r>
        <w:t xml:space="preserve"> invoice</w:t>
      </w:r>
      <w:r w:rsidRPr="00DD418D">
        <w:t xml:space="preserve"> </w:t>
      </w:r>
      <w:r>
        <w:t xml:space="preserve">is an </w:t>
      </w:r>
      <w:r w:rsidRPr="00DD418D">
        <w:t xml:space="preserve">excel workbook </w:t>
      </w:r>
      <w:r>
        <w:t xml:space="preserve">that </w:t>
      </w:r>
      <w:r w:rsidRPr="00DD418D">
        <w:t xml:space="preserve">is composed of </w:t>
      </w:r>
      <w:r w:rsidR="005B1246">
        <w:t xml:space="preserve">three </w:t>
      </w:r>
      <w:r w:rsidRPr="00DD418D">
        <w:t>worksheets, identified by a tab and tab title at th</w:t>
      </w:r>
      <w:r>
        <w:t xml:space="preserve">e bottom of the workbook. The </w:t>
      </w:r>
      <w:r w:rsidRPr="00DD418D">
        <w:t>instructions are organized by the tabs in the workbook. Please enter values into corresponding blank cells that can be selected. The spreadsheets include cells that automatically calculate values, which are identified by a gr</w:t>
      </w:r>
      <w:r w:rsidR="00EF1EA2">
        <w:t>a</w:t>
      </w:r>
      <w:r w:rsidRPr="00DD418D">
        <w:t>y coloring.</w:t>
      </w:r>
      <w:r>
        <w:t xml:space="preserve"> </w:t>
      </w:r>
    </w:p>
    <w:p w14:paraId="6980FDCA" w14:textId="4717097A" w:rsidR="00325C1B" w:rsidRPr="00365929" w:rsidRDefault="00325C1B" w:rsidP="00325C1B">
      <w:pPr>
        <w:pStyle w:val="Heading3"/>
        <w:rPr>
          <w:rFonts w:ascii="Georgia" w:hAnsi="Georgia"/>
          <w:sz w:val="24"/>
          <w:szCs w:val="24"/>
        </w:rPr>
      </w:pPr>
      <w:bookmarkStart w:id="10" w:name="_Toc39495135"/>
      <w:r w:rsidRPr="00365929">
        <w:rPr>
          <w:rFonts w:ascii="Georgia" w:hAnsi="Georgia"/>
          <w:sz w:val="24"/>
          <w:szCs w:val="24"/>
        </w:rPr>
        <w:t>Tab A: Cover Page</w:t>
      </w:r>
      <w:bookmarkEnd w:id="10"/>
    </w:p>
    <w:p w14:paraId="149517F6" w14:textId="77777777" w:rsidR="00325C1B" w:rsidRDefault="00325C1B" w:rsidP="00325C1B">
      <w:pPr>
        <w:rPr>
          <w:rFonts w:cs="Times New Roman"/>
        </w:rPr>
      </w:pPr>
      <w:r>
        <w:t xml:space="preserve">The cover page consists of basic provider information </w:t>
      </w:r>
      <w:r w:rsidRPr="00EF0C81">
        <w:rPr>
          <w:rFonts w:cs="Times New Roman"/>
        </w:rPr>
        <w:t xml:space="preserve">necessary for the DDA to identify </w:t>
      </w:r>
      <w:r>
        <w:rPr>
          <w:rFonts w:cs="Times New Roman"/>
        </w:rPr>
        <w:t>the</w:t>
      </w:r>
      <w:r w:rsidRPr="00EF0C81">
        <w:rPr>
          <w:rFonts w:cs="Times New Roman"/>
        </w:rPr>
        <w:t xml:space="preserve"> provider agency</w:t>
      </w:r>
      <w:r>
        <w:rPr>
          <w:rFonts w:cs="Times New Roman"/>
        </w:rPr>
        <w:t xml:space="preserve"> and process payment. All fields must be completed. </w:t>
      </w:r>
    </w:p>
    <w:p w14:paraId="36C4E939" w14:textId="165D331E" w:rsidR="00325C1B" w:rsidRDefault="00325C1B" w:rsidP="00325C1B">
      <w:pPr>
        <w:rPr>
          <w:rFonts w:cs="Times New Roman"/>
        </w:rPr>
      </w:pPr>
      <w:r>
        <w:rPr>
          <w:rFonts w:cs="Times New Roman"/>
        </w:rPr>
        <w:t xml:space="preserve">More than one </w:t>
      </w:r>
      <w:r w:rsidR="000777B1">
        <w:rPr>
          <w:rFonts w:cs="Times New Roman"/>
        </w:rPr>
        <w:t>non-FPS</w:t>
      </w:r>
      <w:r w:rsidR="00E20A60">
        <w:rPr>
          <w:rFonts w:cs="Times New Roman"/>
        </w:rPr>
        <w:t xml:space="preserve"> </w:t>
      </w:r>
      <w:r w:rsidR="005B1246">
        <w:rPr>
          <w:rFonts w:cs="Times New Roman"/>
        </w:rPr>
        <w:t>services</w:t>
      </w:r>
      <w:r>
        <w:rPr>
          <w:rFonts w:cs="Times New Roman"/>
        </w:rPr>
        <w:t xml:space="preserve"> costs may be billed on one invoice</w:t>
      </w:r>
      <w:r w:rsidR="00E20A60">
        <w:rPr>
          <w:rFonts w:cs="Times New Roman"/>
        </w:rPr>
        <w:t>.</w:t>
      </w:r>
    </w:p>
    <w:p w14:paraId="74F316CA" w14:textId="2FACA61A" w:rsidR="00C83296" w:rsidRDefault="00EF1EA2" w:rsidP="00325C1B">
      <w:pPr>
        <w:rPr>
          <w:rFonts w:cs="Times New Roman"/>
        </w:rPr>
      </w:pPr>
      <w:r>
        <w:rPr>
          <w:rFonts w:cs="Times New Roman"/>
        </w:rPr>
        <w:t>To complete the</w:t>
      </w:r>
      <w:r w:rsidR="00AF2714">
        <w:rPr>
          <w:rFonts w:cs="Times New Roman"/>
        </w:rPr>
        <w:t xml:space="preserve"> Service line, if the non-FPS services are </w:t>
      </w:r>
      <w:r w:rsidR="000777B1">
        <w:rPr>
          <w:rFonts w:cs="Times New Roman"/>
        </w:rPr>
        <w:t xml:space="preserve">still </w:t>
      </w:r>
      <w:r w:rsidR="00AF2714">
        <w:rPr>
          <w:rFonts w:cs="Times New Roman"/>
        </w:rPr>
        <w:t>bundled under an FPS service and listed in the Supplemental services screen</w:t>
      </w:r>
      <w:r>
        <w:rPr>
          <w:rFonts w:cs="Times New Roman"/>
        </w:rPr>
        <w:t xml:space="preserve"> in PCIS</w:t>
      </w:r>
      <w:r w:rsidR="00E20A60">
        <w:rPr>
          <w:rFonts w:cs="Times New Roman"/>
        </w:rPr>
        <w:t>2</w:t>
      </w:r>
      <w:r w:rsidR="00AF2714">
        <w:rPr>
          <w:rFonts w:cs="Times New Roman"/>
        </w:rPr>
        <w:t xml:space="preserve">, choose the correct FPS service to populate the correct PCA. If the non-FPS service is listed under the Community Pathways Non-FPS service on </w:t>
      </w:r>
      <w:r w:rsidR="000777B1">
        <w:rPr>
          <w:rFonts w:cs="Times New Roman"/>
        </w:rPr>
        <w:t>the Services screen</w:t>
      </w:r>
      <w:r w:rsidR="00C83296">
        <w:rPr>
          <w:rFonts w:cs="Times New Roman"/>
        </w:rPr>
        <w:t>, select Non-FPS</w:t>
      </w:r>
      <w:r w:rsidR="000777B1">
        <w:rPr>
          <w:rFonts w:cs="Times New Roman"/>
        </w:rPr>
        <w:t xml:space="preserve"> Service</w:t>
      </w:r>
      <w:r w:rsidR="00C83296">
        <w:rPr>
          <w:rFonts w:cs="Times New Roman"/>
        </w:rPr>
        <w:t xml:space="preserve"> </w:t>
      </w:r>
      <w:r w:rsidR="000777B1">
        <w:rPr>
          <w:rFonts w:cs="Times New Roman"/>
        </w:rPr>
        <w:t xml:space="preserve">in the dropdown </w:t>
      </w:r>
      <w:r w:rsidR="00C83296">
        <w:rPr>
          <w:rFonts w:cs="Times New Roman"/>
        </w:rPr>
        <w:t>to populate the correct PCA code</w:t>
      </w:r>
      <w:r w:rsidR="000777B1">
        <w:rPr>
          <w:rFonts w:cs="Times New Roman"/>
        </w:rPr>
        <w:t xml:space="preserve"> created for these services</w:t>
      </w:r>
      <w:r w:rsidR="00C83296">
        <w:rPr>
          <w:rFonts w:cs="Times New Roman"/>
        </w:rPr>
        <w:t>.</w:t>
      </w:r>
      <w:r w:rsidR="0056213C">
        <w:rPr>
          <w:rFonts w:cs="Times New Roman"/>
        </w:rPr>
        <w:t xml:space="preserve"> </w:t>
      </w:r>
    </w:p>
    <w:p w14:paraId="4414CB47" w14:textId="77777777" w:rsidR="00515DD0" w:rsidRDefault="00515DD0" w:rsidP="00325C1B">
      <w:pPr>
        <w:rPr>
          <w:rFonts w:cs="Times New Roman"/>
        </w:rPr>
      </w:pPr>
    </w:p>
    <w:p w14:paraId="6CC73165" w14:textId="440752D3" w:rsidR="00515DD0" w:rsidRPr="00A14207" w:rsidRDefault="00515DD0" w:rsidP="00325C1B">
      <w:pPr>
        <w:rPr>
          <w:rFonts w:cs="Times New Roman"/>
          <w:b/>
          <w:i/>
        </w:rPr>
      </w:pPr>
      <w:r w:rsidRPr="00A14207">
        <w:rPr>
          <w:rFonts w:cs="Times New Roman"/>
          <w:b/>
          <w:i/>
          <w:u w:val="single"/>
        </w:rPr>
        <w:t>COVID-19 UPDATE</w:t>
      </w:r>
      <w:r w:rsidRPr="00A14207">
        <w:rPr>
          <w:rFonts w:cs="Times New Roman"/>
          <w:b/>
          <w:i/>
        </w:rPr>
        <w:t>: Shared Living service</w:t>
      </w:r>
      <w:r w:rsidR="00C11288" w:rsidRPr="0049563C">
        <w:rPr>
          <w:rFonts w:cs="Times New Roman"/>
          <w:b/>
          <w:i/>
        </w:rPr>
        <w:t xml:space="preserve"> has been added to the list of S</w:t>
      </w:r>
      <w:r w:rsidRPr="00A14207">
        <w:rPr>
          <w:rFonts w:cs="Times New Roman"/>
          <w:b/>
          <w:i/>
        </w:rPr>
        <w:t>ervices in order to bill for the Shared Living Isolation Rate</w:t>
      </w:r>
      <w:r w:rsidR="00C9714C" w:rsidRPr="00A14207">
        <w:rPr>
          <w:rFonts w:cs="Times New Roman"/>
          <w:b/>
          <w:i/>
        </w:rPr>
        <w:t xml:space="preserve"> once the additional costs are authorized by the Regional Office and included in PCIS.</w:t>
      </w:r>
    </w:p>
    <w:p w14:paraId="51342D03" w14:textId="59AFB224" w:rsidR="00F23930" w:rsidRPr="00F23930" w:rsidRDefault="00325C1B" w:rsidP="00F23930">
      <w:pPr>
        <w:pStyle w:val="Heading3"/>
        <w:rPr>
          <w:rFonts w:ascii="Georgia" w:hAnsi="Georgia"/>
          <w:sz w:val="24"/>
          <w:szCs w:val="24"/>
        </w:rPr>
      </w:pPr>
      <w:bookmarkStart w:id="11" w:name="_Toc39495136"/>
      <w:r w:rsidRPr="00365929">
        <w:rPr>
          <w:rFonts w:ascii="Georgia" w:hAnsi="Georgia"/>
          <w:sz w:val="24"/>
          <w:szCs w:val="24"/>
        </w:rPr>
        <w:t>Tab B: Consumer Budget</w:t>
      </w:r>
      <w:bookmarkEnd w:id="11"/>
    </w:p>
    <w:p w14:paraId="50FF5020" w14:textId="107A114B" w:rsidR="00325C1B" w:rsidRDefault="00325C1B" w:rsidP="00325C1B">
      <w:r>
        <w:t xml:space="preserve">Part B serves to monitor spending relative to the individual’s budget. The DDA will only pay up to the budgeted amount for the individual. In the spreadsheet insert the service by individual. If an individual has more than one </w:t>
      </w:r>
      <w:r w:rsidR="00117CDC">
        <w:t xml:space="preserve">non-FPS </w:t>
      </w:r>
      <w:r w:rsidR="005B1246">
        <w:t>service cost</w:t>
      </w:r>
      <w:r>
        <w:t xml:space="preserve">, then there needs to be a separate row for each service. </w:t>
      </w:r>
    </w:p>
    <w:p w14:paraId="6DB1C63F" w14:textId="77777777" w:rsidR="00325C1B" w:rsidRDefault="00325C1B" w:rsidP="00325C1B">
      <w:r>
        <w:t>Below are explanations for the columns on the spreadsheet.</w:t>
      </w:r>
    </w:p>
    <w:p w14:paraId="0C8A8803" w14:textId="77777777" w:rsidR="00F75595" w:rsidRDefault="00F75595" w:rsidP="00325C1B"/>
    <w:p w14:paraId="762EF95B" w14:textId="680134ED" w:rsidR="00F75595" w:rsidRPr="00A14207" w:rsidRDefault="00F75595" w:rsidP="00325C1B">
      <w:pPr>
        <w:rPr>
          <w:b/>
          <w:i/>
        </w:rPr>
      </w:pPr>
      <w:r w:rsidRPr="00A14207">
        <w:rPr>
          <w:b/>
          <w:i/>
          <w:u w:val="single"/>
        </w:rPr>
        <w:t>COVID-19 UPDATE</w:t>
      </w:r>
      <w:r w:rsidRPr="00A14207">
        <w:rPr>
          <w:b/>
          <w:i/>
        </w:rPr>
        <w:t xml:space="preserve">: Budgets for COVID-19 services </w:t>
      </w:r>
      <w:r w:rsidR="00C9714C" w:rsidRPr="00A14207">
        <w:rPr>
          <w:b/>
          <w:i/>
        </w:rPr>
        <w:t xml:space="preserve">that don’t require preauthorization </w:t>
      </w:r>
      <w:r w:rsidRPr="00A14207">
        <w:rPr>
          <w:b/>
          <w:i/>
        </w:rPr>
        <w:t>should be entered into the Consumer Budget with an (G) Actual Budget amount for at least the amount of the costs to be included on the invoice. If the budgeted amount for the service is not high enough to cover the costs</w:t>
      </w:r>
      <w:r w:rsidR="00A42554" w:rsidRPr="00A14207">
        <w:rPr>
          <w:b/>
          <w:i/>
        </w:rPr>
        <w:t xml:space="preserve"> included in the Available Budget for Charges</w:t>
      </w:r>
      <w:r w:rsidRPr="00A14207">
        <w:rPr>
          <w:b/>
          <w:i/>
        </w:rPr>
        <w:t>, the</w:t>
      </w:r>
      <w:r w:rsidR="00C9714C" w:rsidRPr="00A14207">
        <w:rPr>
          <w:b/>
          <w:i/>
        </w:rPr>
        <w:t xml:space="preserve"> expenditures will go into the U</w:t>
      </w:r>
      <w:r w:rsidRPr="00A14207">
        <w:rPr>
          <w:b/>
          <w:i/>
        </w:rPr>
        <w:t xml:space="preserve">nfunded </w:t>
      </w:r>
      <w:r w:rsidR="00C9714C" w:rsidRPr="00A14207">
        <w:rPr>
          <w:b/>
          <w:i/>
        </w:rPr>
        <w:t xml:space="preserve">Amount </w:t>
      </w:r>
      <w:r w:rsidRPr="00A14207">
        <w:rPr>
          <w:b/>
          <w:i/>
        </w:rPr>
        <w:t>on the Cover Page</w:t>
      </w:r>
      <w:r w:rsidR="00C70700" w:rsidRPr="00A14207">
        <w:rPr>
          <w:b/>
          <w:i/>
        </w:rPr>
        <w:t xml:space="preserve"> and will not be included in the Total Invoice Charges</w:t>
      </w:r>
      <w:r w:rsidRPr="00A14207">
        <w:rPr>
          <w:b/>
          <w:i/>
        </w:rPr>
        <w:t>.</w:t>
      </w:r>
    </w:p>
    <w:p w14:paraId="1507AAD9" w14:textId="77777777" w:rsidR="00C9714C" w:rsidRDefault="00C9714C" w:rsidP="00325C1B"/>
    <w:tbl>
      <w:tblPr>
        <w:tblStyle w:val="TableGrid"/>
        <w:tblW w:w="10022" w:type="dxa"/>
        <w:jc w:val="center"/>
        <w:tblLayout w:type="fixed"/>
        <w:tblLook w:val="04A0" w:firstRow="1" w:lastRow="0" w:firstColumn="1" w:lastColumn="0" w:noHBand="0" w:noVBand="1"/>
      </w:tblPr>
      <w:tblGrid>
        <w:gridCol w:w="691"/>
        <w:gridCol w:w="2880"/>
        <w:gridCol w:w="3887"/>
        <w:gridCol w:w="2564"/>
      </w:tblGrid>
      <w:tr w:rsidR="00325C1B" w:rsidRPr="003104CB" w14:paraId="5A19839F" w14:textId="77777777" w:rsidTr="00B10FC2">
        <w:trPr>
          <w:jc w:val="center"/>
        </w:trPr>
        <w:tc>
          <w:tcPr>
            <w:tcW w:w="691" w:type="dxa"/>
            <w:shd w:val="clear" w:color="auto" w:fill="FB5B5B"/>
          </w:tcPr>
          <w:p w14:paraId="580F4AEF" w14:textId="56DDF3D2" w:rsidR="00325C1B" w:rsidRPr="005F2CD2" w:rsidRDefault="00325C1B" w:rsidP="00325C1B">
            <w:pPr>
              <w:spacing w:before="100" w:beforeAutospacing="1" w:after="100" w:afterAutospacing="1"/>
              <w:rPr>
                <w:b/>
                <w:spacing w:val="20"/>
              </w:rPr>
            </w:pPr>
            <w:r>
              <w:rPr>
                <w:b/>
                <w:spacing w:val="20"/>
              </w:rPr>
              <w:t>Col</w:t>
            </w:r>
          </w:p>
        </w:tc>
        <w:tc>
          <w:tcPr>
            <w:tcW w:w="2880" w:type="dxa"/>
            <w:shd w:val="clear" w:color="auto" w:fill="FB5B5B"/>
          </w:tcPr>
          <w:p w14:paraId="5DBA89F7" w14:textId="77777777" w:rsidR="00325C1B" w:rsidRPr="005F2CD2" w:rsidRDefault="00325C1B" w:rsidP="00325C1B">
            <w:pPr>
              <w:spacing w:before="100" w:beforeAutospacing="1" w:after="100" w:afterAutospacing="1"/>
              <w:rPr>
                <w:b/>
                <w:spacing w:val="20"/>
              </w:rPr>
            </w:pPr>
            <w:r>
              <w:rPr>
                <w:b/>
                <w:spacing w:val="20"/>
              </w:rPr>
              <w:t>Column Title</w:t>
            </w:r>
          </w:p>
        </w:tc>
        <w:tc>
          <w:tcPr>
            <w:tcW w:w="3887" w:type="dxa"/>
            <w:shd w:val="clear" w:color="auto" w:fill="FB5B5B"/>
          </w:tcPr>
          <w:p w14:paraId="584BAC16" w14:textId="77777777" w:rsidR="00325C1B" w:rsidRPr="005F2CD2" w:rsidRDefault="00325C1B" w:rsidP="00325C1B">
            <w:pPr>
              <w:spacing w:before="100" w:beforeAutospacing="1" w:after="100" w:afterAutospacing="1"/>
              <w:rPr>
                <w:b/>
                <w:spacing w:val="20"/>
              </w:rPr>
            </w:pPr>
            <w:r>
              <w:rPr>
                <w:b/>
                <w:spacing w:val="20"/>
              </w:rPr>
              <w:t>Description</w:t>
            </w:r>
          </w:p>
        </w:tc>
        <w:tc>
          <w:tcPr>
            <w:tcW w:w="2564" w:type="dxa"/>
            <w:shd w:val="clear" w:color="auto" w:fill="FB5B5B"/>
          </w:tcPr>
          <w:p w14:paraId="6A159C49" w14:textId="77777777" w:rsidR="00325C1B" w:rsidRPr="005F2CD2" w:rsidRDefault="00325C1B" w:rsidP="00325C1B">
            <w:pPr>
              <w:spacing w:before="100" w:beforeAutospacing="1" w:after="100" w:afterAutospacing="1"/>
              <w:rPr>
                <w:b/>
                <w:spacing w:val="20"/>
              </w:rPr>
            </w:pPr>
            <w:r>
              <w:rPr>
                <w:b/>
                <w:spacing w:val="20"/>
              </w:rPr>
              <w:t>Calculation</w:t>
            </w:r>
          </w:p>
        </w:tc>
      </w:tr>
      <w:tr w:rsidR="00325C1B" w14:paraId="57165A9E" w14:textId="77777777" w:rsidTr="00325C1B">
        <w:trPr>
          <w:jc w:val="center"/>
        </w:trPr>
        <w:tc>
          <w:tcPr>
            <w:tcW w:w="691" w:type="dxa"/>
          </w:tcPr>
          <w:p w14:paraId="1FDB4235" w14:textId="77777777" w:rsidR="00325C1B" w:rsidRDefault="00325C1B" w:rsidP="00325C1B">
            <w:pPr>
              <w:spacing w:before="100" w:beforeAutospacing="1" w:after="100" w:afterAutospacing="1"/>
            </w:pPr>
            <w:r>
              <w:t>A</w:t>
            </w:r>
          </w:p>
        </w:tc>
        <w:tc>
          <w:tcPr>
            <w:tcW w:w="2880" w:type="dxa"/>
          </w:tcPr>
          <w:p w14:paraId="39879DC2" w14:textId="77777777" w:rsidR="00325C1B" w:rsidRDefault="00325C1B" w:rsidP="00325C1B">
            <w:pPr>
              <w:spacing w:before="100" w:beforeAutospacing="1" w:after="100" w:afterAutospacing="1"/>
            </w:pPr>
            <w:r>
              <w:t>Consumer Last Name</w:t>
            </w:r>
          </w:p>
        </w:tc>
        <w:tc>
          <w:tcPr>
            <w:tcW w:w="3887" w:type="dxa"/>
          </w:tcPr>
          <w:p w14:paraId="22BBDF4A" w14:textId="77777777" w:rsidR="00325C1B" w:rsidRDefault="00325C1B" w:rsidP="00325C1B">
            <w:pPr>
              <w:spacing w:before="100" w:beforeAutospacing="1" w:after="100" w:afterAutospacing="1"/>
            </w:pPr>
            <w:r>
              <w:t>Input last name</w:t>
            </w:r>
          </w:p>
        </w:tc>
        <w:tc>
          <w:tcPr>
            <w:tcW w:w="2564" w:type="dxa"/>
          </w:tcPr>
          <w:p w14:paraId="1C71DC1F" w14:textId="77777777" w:rsidR="00325C1B" w:rsidRPr="00B87D4D" w:rsidRDefault="00325C1B" w:rsidP="00325C1B">
            <w:pPr>
              <w:spacing w:before="100" w:beforeAutospacing="1" w:after="100" w:afterAutospacing="1"/>
            </w:pPr>
          </w:p>
        </w:tc>
      </w:tr>
      <w:tr w:rsidR="00325C1B" w14:paraId="218EB4A9" w14:textId="77777777" w:rsidTr="00325C1B">
        <w:trPr>
          <w:jc w:val="center"/>
        </w:trPr>
        <w:tc>
          <w:tcPr>
            <w:tcW w:w="691" w:type="dxa"/>
          </w:tcPr>
          <w:p w14:paraId="0F9F3292" w14:textId="77777777" w:rsidR="00325C1B" w:rsidRDefault="00325C1B" w:rsidP="00325C1B">
            <w:pPr>
              <w:spacing w:before="100" w:beforeAutospacing="1" w:after="100" w:afterAutospacing="1"/>
            </w:pPr>
            <w:r>
              <w:t>B</w:t>
            </w:r>
          </w:p>
        </w:tc>
        <w:tc>
          <w:tcPr>
            <w:tcW w:w="2880" w:type="dxa"/>
          </w:tcPr>
          <w:p w14:paraId="6963D657" w14:textId="77777777" w:rsidR="00325C1B" w:rsidRDefault="00325C1B" w:rsidP="00325C1B">
            <w:pPr>
              <w:spacing w:before="100" w:beforeAutospacing="1" w:after="100" w:afterAutospacing="1"/>
            </w:pPr>
            <w:r>
              <w:t>Consumer First Name</w:t>
            </w:r>
          </w:p>
        </w:tc>
        <w:tc>
          <w:tcPr>
            <w:tcW w:w="3887" w:type="dxa"/>
          </w:tcPr>
          <w:p w14:paraId="3622B680" w14:textId="77777777" w:rsidR="00325C1B" w:rsidRDefault="00325C1B" w:rsidP="00325C1B">
            <w:pPr>
              <w:spacing w:before="100" w:beforeAutospacing="1" w:after="100" w:afterAutospacing="1"/>
            </w:pPr>
            <w:r>
              <w:t>Input first name</w:t>
            </w:r>
          </w:p>
        </w:tc>
        <w:tc>
          <w:tcPr>
            <w:tcW w:w="2564" w:type="dxa"/>
          </w:tcPr>
          <w:p w14:paraId="6CC01FBE" w14:textId="77777777" w:rsidR="00325C1B" w:rsidRPr="00B87D4D" w:rsidRDefault="00325C1B" w:rsidP="00325C1B">
            <w:pPr>
              <w:spacing w:before="100" w:beforeAutospacing="1" w:after="100" w:afterAutospacing="1"/>
            </w:pPr>
          </w:p>
        </w:tc>
      </w:tr>
      <w:tr w:rsidR="00325C1B" w14:paraId="439CEBD2" w14:textId="77777777" w:rsidTr="00325C1B">
        <w:trPr>
          <w:jc w:val="center"/>
        </w:trPr>
        <w:tc>
          <w:tcPr>
            <w:tcW w:w="691" w:type="dxa"/>
          </w:tcPr>
          <w:p w14:paraId="7AB57BF3" w14:textId="77777777" w:rsidR="00325C1B" w:rsidRDefault="00325C1B" w:rsidP="00325C1B">
            <w:pPr>
              <w:spacing w:before="100" w:beforeAutospacing="1" w:after="100" w:afterAutospacing="1"/>
            </w:pPr>
            <w:r>
              <w:lastRenderedPageBreak/>
              <w:t>C</w:t>
            </w:r>
          </w:p>
        </w:tc>
        <w:tc>
          <w:tcPr>
            <w:tcW w:w="2880" w:type="dxa"/>
          </w:tcPr>
          <w:p w14:paraId="1F612133" w14:textId="77777777" w:rsidR="00325C1B" w:rsidRDefault="00325C1B" w:rsidP="00325C1B">
            <w:pPr>
              <w:spacing w:before="100" w:beforeAutospacing="1" w:after="100" w:afterAutospacing="1"/>
            </w:pPr>
            <w:r>
              <w:t>Consumer MA #</w:t>
            </w:r>
          </w:p>
        </w:tc>
        <w:tc>
          <w:tcPr>
            <w:tcW w:w="3887" w:type="dxa"/>
          </w:tcPr>
          <w:p w14:paraId="6C43682F" w14:textId="0F964557" w:rsidR="00325C1B" w:rsidRDefault="00325C1B" w:rsidP="00325C1B">
            <w:pPr>
              <w:spacing w:before="100" w:beforeAutospacing="1" w:after="100" w:afterAutospacing="1"/>
            </w:pPr>
            <w:r>
              <w:t>Input consumer’s medical assistance #</w:t>
            </w:r>
            <w:r w:rsidR="005B1246">
              <w:t xml:space="preserve"> (11 digits)</w:t>
            </w:r>
          </w:p>
        </w:tc>
        <w:tc>
          <w:tcPr>
            <w:tcW w:w="2564" w:type="dxa"/>
          </w:tcPr>
          <w:p w14:paraId="7100B7ED" w14:textId="77777777" w:rsidR="00325C1B" w:rsidRPr="00B87D4D" w:rsidRDefault="00325C1B" w:rsidP="00325C1B">
            <w:pPr>
              <w:spacing w:before="100" w:beforeAutospacing="1" w:after="100" w:afterAutospacing="1"/>
            </w:pPr>
          </w:p>
        </w:tc>
      </w:tr>
      <w:tr w:rsidR="00325C1B" w14:paraId="2FD892EB" w14:textId="77777777" w:rsidTr="00325C1B">
        <w:trPr>
          <w:jc w:val="center"/>
        </w:trPr>
        <w:tc>
          <w:tcPr>
            <w:tcW w:w="691" w:type="dxa"/>
          </w:tcPr>
          <w:p w14:paraId="760FA057" w14:textId="77777777" w:rsidR="00325C1B" w:rsidRDefault="00325C1B" w:rsidP="00325C1B">
            <w:pPr>
              <w:spacing w:before="100" w:beforeAutospacing="1" w:after="100" w:afterAutospacing="1"/>
            </w:pPr>
            <w:r>
              <w:t>D</w:t>
            </w:r>
          </w:p>
        </w:tc>
        <w:tc>
          <w:tcPr>
            <w:tcW w:w="2880" w:type="dxa"/>
          </w:tcPr>
          <w:p w14:paraId="50872DA1" w14:textId="77777777" w:rsidR="00325C1B" w:rsidRDefault="00325C1B" w:rsidP="00325C1B">
            <w:pPr>
              <w:spacing w:before="100" w:beforeAutospacing="1" w:after="100" w:afterAutospacing="1"/>
            </w:pPr>
            <w:r>
              <w:t>Waiver Eligible (Yes/No)</w:t>
            </w:r>
          </w:p>
        </w:tc>
        <w:tc>
          <w:tcPr>
            <w:tcW w:w="3887" w:type="dxa"/>
          </w:tcPr>
          <w:p w14:paraId="6CEE556C" w14:textId="77777777" w:rsidR="00325C1B" w:rsidRDefault="00325C1B" w:rsidP="00325C1B">
            <w:pPr>
              <w:spacing w:before="100" w:beforeAutospacing="1" w:after="100" w:afterAutospacing="1"/>
            </w:pPr>
            <w:r>
              <w:t>Choose “Yes” or “No” from the dropdown list</w:t>
            </w:r>
          </w:p>
        </w:tc>
        <w:tc>
          <w:tcPr>
            <w:tcW w:w="2564" w:type="dxa"/>
          </w:tcPr>
          <w:p w14:paraId="0E500B92" w14:textId="77777777" w:rsidR="00325C1B" w:rsidRPr="00B87D4D" w:rsidRDefault="00325C1B" w:rsidP="00325C1B">
            <w:pPr>
              <w:spacing w:before="100" w:beforeAutospacing="1" w:after="100" w:afterAutospacing="1"/>
            </w:pPr>
          </w:p>
        </w:tc>
      </w:tr>
      <w:tr w:rsidR="00325C1B" w14:paraId="39B75EF5" w14:textId="77777777" w:rsidTr="00325C1B">
        <w:trPr>
          <w:jc w:val="center"/>
        </w:trPr>
        <w:tc>
          <w:tcPr>
            <w:tcW w:w="691" w:type="dxa"/>
          </w:tcPr>
          <w:p w14:paraId="228901A9" w14:textId="77777777" w:rsidR="00325C1B" w:rsidRDefault="00325C1B" w:rsidP="00325C1B">
            <w:pPr>
              <w:spacing w:before="100" w:beforeAutospacing="1" w:after="100" w:afterAutospacing="1"/>
            </w:pPr>
            <w:r>
              <w:t>E</w:t>
            </w:r>
          </w:p>
        </w:tc>
        <w:tc>
          <w:tcPr>
            <w:tcW w:w="2880" w:type="dxa"/>
          </w:tcPr>
          <w:p w14:paraId="7D118463" w14:textId="35F61448" w:rsidR="00325C1B" w:rsidRDefault="00F91F2D" w:rsidP="00325C1B">
            <w:pPr>
              <w:spacing w:before="100" w:beforeAutospacing="1" w:after="100" w:afterAutospacing="1"/>
            </w:pPr>
            <w:r>
              <w:t xml:space="preserve">Non-FPS </w:t>
            </w:r>
            <w:r w:rsidR="005B1246">
              <w:t>Service</w:t>
            </w:r>
          </w:p>
        </w:tc>
        <w:tc>
          <w:tcPr>
            <w:tcW w:w="3887" w:type="dxa"/>
          </w:tcPr>
          <w:p w14:paraId="2410BB8F" w14:textId="7C74165A" w:rsidR="00325C1B" w:rsidRDefault="00325C1B" w:rsidP="00E20A60">
            <w:r>
              <w:t xml:space="preserve">Choose the </w:t>
            </w:r>
            <w:r w:rsidR="00F91F2D">
              <w:t xml:space="preserve">Non-FPS </w:t>
            </w:r>
            <w:r w:rsidR="005B1246">
              <w:t>Service</w:t>
            </w:r>
            <w:r w:rsidR="00F75595">
              <w:t xml:space="preserve">, </w:t>
            </w:r>
            <w:r w:rsidR="00F75595" w:rsidRPr="00A14207">
              <w:rPr>
                <w:b/>
                <w:i/>
              </w:rPr>
              <w:t>COVID-19 service</w:t>
            </w:r>
            <w:r w:rsidR="00F91F2D">
              <w:t xml:space="preserve"> or State-Only Funded service</w:t>
            </w:r>
            <w:r>
              <w:t xml:space="preserve"> from the dropdown list</w:t>
            </w:r>
          </w:p>
        </w:tc>
        <w:tc>
          <w:tcPr>
            <w:tcW w:w="2564" w:type="dxa"/>
          </w:tcPr>
          <w:p w14:paraId="30F81E83" w14:textId="77777777" w:rsidR="00325C1B" w:rsidRDefault="00325C1B" w:rsidP="00325C1B">
            <w:pPr>
              <w:contextualSpacing/>
            </w:pPr>
          </w:p>
        </w:tc>
      </w:tr>
      <w:tr w:rsidR="00325C1B" w14:paraId="49434FEE" w14:textId="77777777" w:rsidTr="00325C1B">
        <w:trPr>
          <w:jc w:val="center"/>
        </w:trPr>
        <w:tc>
          <w:tcPr>
            <w:tcW w:w="691" w:type="dxa"/>
          </w:tcPr>
          <w:p w14:paraId="4AC2AEE6" w14:textId="77777777" w:rsidR="00325C1B" w:rsidRDefault="00325C1B" w:rsidP="00325C1B">
            <w:pPr>
              <w:spacing w:before="100" w:beforeAutospacing="1" w:after="100" w:afterAutospacing="1"/>
            </w:pPr>
            <w:r>
              <w:t>F</w:t>
            </w:r>
          </w:p>
        </w:tc>
        <w:tc>
          <w:tcPr>
            <w:tcW w:w="2880" w:type="dxa"/>
          </w:tcPr>
          <w:p w14:paraId="29BC9BDA" w14:textId="5349875B" w:rsidR="00325C1B" w:rsidRDefault="005B1246" w:rsidP="00325C1B">
            <w:pPr>
              <w:spacing w:before="100" w:beforeAutospacing="1" w:after="100" w:afterAutospacing="1"/>
            </w:pPr>
            <w:r>
              <w:t>Regional Log</w:t>
            </w:r>
            <w:r w:rsidR="00325C1B">
              <w:t xml:space="preserve"> #</w:t>
            </w:r>
          </w:p>
        </w:tc>
        <w:tc>
          <w:tcPr>
            <w:tcW w:w="3887" w:type="dxa"/>
          </w:tcPr>
          <w:p w14:paraId="43B3BC0F" w14:textId="77777777" w:rsidR="00325C1B" w:rsidRDefault="00325C1B" w:rsidP="00325C1B">
            <w:pPr>
              <w:contextualSpacing/>
            </w:pPr>
            <w:r>
              <w:t>Inputs SFP #</w:t>
            </w:r>
          </w:p>
        </w:tc>
        <w:tc>
          <w:tcPr>
            <w:tcW w:w="2564" w:type="dxa"/>
          </w:tcPr>
          <w:p w14:paraId="61425853" w14:textId="77777777" w:rsidR="00325C1B" w:rsidRPr="00B87D4D" w:rsidRDefault="00325C1B" w:rsidP="00325C1B">
            <w:pPr>
              <w:contextualSpacing/>
            </w:pPr>
          </w:p>
        </w:tc>
      </w:tr>
      <w:tr w:rsidR="00325C1B" w14:paraId="080731C2" w14:textId="77777777" w:rsidTr="00325C1B">
        <w:trPr>
          <w:jc w:val="center"/>
        </w:trPr>
        <w:tc>
          <w:tcPr>
            <w:tcW w:w="691" w:type="dxa"/>
          </w:tcPr>
          <w:p w14:paraId="365E26E4" w14:textId="77777777" w:rsidR="00325C1B" w:rsidRDefault="00325C1B" w:rsidP="00325C1B">
            <w:pPr>
              <w:spacing w:before="100" w:beforeAutospacing="1" w:after="100" w:afterAutospacing="1"/>
            </w:pPr>
            <w:r>
              <w:t>G</w:t>
            </w:r>
          </w:p>
        </w:tc>
        <w:tc>
          <w:tcPr>
            <w:tcW w:w="2880" w:type="dxa"/>
          </w:tcPr>
          <w:p w14:paraId="5506D2F7" w14:textId="77777777" w:rsidR="00325C1B" w:rsidRDefault="00325C1B" w:rsidP="00325C1B">
            <w:pPr>
              <w:spacing w:before="100" w:beforeAutospacing="1" w:after="100" w:afterAutospacing="1"/>
            </w:pPr>
            <w:r>
              <w:t>Actual Budget</w:t>
            </w:r>
          </w:p>
        </w:tc>
        <w:tc>
          <w:tcPr>
            <w:tcW w:w="3887" w:type="dxa"/>
          </w:tcPr>
          <w:p w14:paraId="01D83B48" w14:textId="4E1D2119" w:rsidR="00325C1B" w:rsidRPr="00180C42" w:rsidRDefault="00325C1B" w:rsidP="00712BC7">
            <w:pPr>
              <w:spacing w:before="100" w:beforeAutospacing="1" w:after="100" w:afterAutospacing="1"/>
            </w:pPr>
            <w:r>
              <w:t>Input the actual budget for the supplemental service</w:t>
            </w:r>
            <w:r w:rsidR="00712BC7">
              <w:t xml:space="preserve">, </w:t>
            </w:r>
            <w:r>
              <w:t>one-time-only cost</w:t>
            </w:r>
            <w:r w:rsidR="00712BC7">
              <w:t xml:space="preserve">s, or </w:t>
            </w:r>
            <w:r w:rsidR="00712BC7" w:rsidRPr="00A14207">
              <w:rPr>
                <w:b/>
                <w:i/>
              </w:rPr>
              <w:t>COVID-19 costs</w:t>
            </w:r>
          </w:p>
        </w:tc>
        <w:tc>
          <w:tcPr>
            <w:tcW w:w="2564" w:type="dxa"/>
          </w:tcPr>
          <w:p w14:paraId="5F66DBB2" w14:textId="77777777" w:rsidR="00325C1B" w:rsidRPr="00B87D4D" w:rsidRDefault="00325C1B" w:rsidP="00325C1B">
            <w:pPr>
              <w:spacing w:before="100" w:beforeAutospacing="1" w:after="100" w:afterAutospacing="1"/>
            </w:pPr>
          </w:p>
        </w:tc>
      </w:tr>
      <w:tr w:rsidR="00325C1B" w14:paraId="6FDE6770" w14:textId="77777777" w:rsidTr="00325C1B">
        <w:trPr>
          <w:jc w:val="center"/>
        </w:trPr>
        <w:tc>
          <w:tcPr>
            <w:tcW w:w="691" w:type="dxa"/>
          </w:tcPr>
          <w:p w14:paraId="170C8DC9" w14:textId="77777777" w:rsidR="00325C1B" w:rsidRDefault="00325C1B" w:rsidP="00325C1B">
            <w:pPr>
              <w:spacing w:before="100" w:beforeAutospacing="1" w:after="100" w:afterAutospacing="1"/>
            </w:pPr>
            <w:r>
              <w:t>H</w:t>
            </w:r>
          </w:p>
        </w:tc>
        <w:tc>
          <w:tcPr>
            <w:tcW w:w="2880" w:type="dxa"/>
          </w:tcPr>
          <w:p w14:paraId="57A8153C" w14:textId="77777777" w:rsidR="00325C1B" w:rsidRDefault="00325C1B" w:rsidP="00325C1B">
            <w:pPr>
              <w:spacing w:before="100" w:beforeAutospacing="1" w:after="100" w:afterAutospacing="1"/>
            </w:pPr>
            <w:r>
              <w:t>Year-to-Date Paid Charges</w:t>
            </w:r>
          </w:p>
        </w:tc>
        <w:tc>
          <w:tcPr>
            <w:tcW w:w="3887" w:type="dxa"/>
          </w:tcPr>
          <w:p w14:paraId="664387FF" w14:textId="7493B8E1" w:rsidR="00325C1B" w:rsidRPr="00797248" w:rsidRDefault="00325C1B" w:rsidP="00A42554">
            <w:pPr>
              <w:contextualSpacing/>
            </w:pPr>
            <w:r>
              <w:t>Input the total amount paid for the service or cost for the year</w:t>
            </w:r>
            <w:r w:rsidR="00A42554">
              <w:t>; don’t enter an amount here for COVID-19 costs if billing for new costs</w:t>
            </w:r>
          </w:p>
        </w:tc>
        <w:tc>
          <w:tcPr>
            <w:tcW w:w="2564" w:type="dxa"/>
          </w:tcPr>
          <w:p w14:paraId="47C51C60" w14:textId="77777777" w:rsidR="00325C1B" w:rsidRPr="00797248" w:rsidRDefault="00325C1B" w:rsidP="00325C1B">
            <w:pPr>
              <w:contextualSpacing/>
            </w:pPr>
          </w:p>
        </w:tc>
      </w:tr>
      <w:tr w:rsidR="00325C1B" w14:paraId="1B0D294B" w14:textId="77777777" w:rsidTr="00325C1B">
        <w:trPr>
          <w:trHeight w:val="485"/>
          <w:jc w:val="center"/>
        </w:trPr>
        <w:tc>
          <w:tcPr>
            <w:tcW w:w="691" w:type="dxa"/>
          </w:tcPr>
          <w:p w14:paraId="4233285A" w14:textId="77777777" w:rsidR="00325C1B" w:rsidRDefault="00325C1B" w:rsidP="00325C1B">
            <w:pPr>
              <w:spacing w:before="100" w:beforeAutospacing="1" w:after="100" w:afterAutospacing="1"/>
            </w:pPr>
            <w:r>
              <w:t>I</w:t>
            </w:r>
          </w:p>
        </w:tc>
        <w:tc>
          <w:tcPr>
            <w:tcW w:w="2880" w:type="dxa"/>
          </w:tcPr>
          <w:p w14:paraId="3F9FD77E" w14:textId="77777777" w:rsidR="00325C1B" w:rsidRDefault="00325C1B" w:rsidP="00325C1B">
            <w:pPr>
              <w:spacing w:before="100" w:beforeAutospacing="1" w:after="100" w:afterAutospacing="1"/>
            </w:pPr>
            <w:r>
              <w:t>Remaining Budget</w:t>
            </w:r>
          </w:p>
        </w:tc>
        <w:tc>
          <w:tcPr>
            <w:tcW w:w="3887" w:type="dxa"/>
          </w:tcPr>
          <w:p w14:paraId="721ACB98" w14:textId="77777777" w:rsidR="00325C1B" w:rsidRPr="00180C42" w:rsidRDefault="00325C1B" w:rsidP="00325C1B">
            <w:r>
              <w:t>Excel automatically calculates</w:t>
            </w:r>
          </w:p>
        </w:tc>
        <w:tc>
          <w:tcPr>
            <w:tcW w:w="2564" w:type="dxa"/>
          </w:tcPr>
          <w:p w14:paraId="090189B9" w14:textId="77777777" w:rsidR="00325C1B" w:rsidRDefault="00325C1B" w:rsidP="00325C1B">
            <w:pPr>
              <w:contextualSpacing/>
            </w:pPr>
            <w:r>
              <w:t>G -H</w:t>
            </w:r>
          </w:p>
        </w:tc>
      </w:tr>
      <w:tr w:rsidR="00325C1B" w14:paraId="2044327F" w14:textId="77777777" w:rsidTr="00325C1B">
        <w:trPr>
          <w:jc w:val="center"/>
        </w:trPr>
        <w:tc>
          <w:tcPr>
            <w:tcW w:w="691" w:type="dxa"/>
          </w:tcPr>
          <w:p w14:paraId="62F5E6BB" w14:textId="77777777" w:rsidR="00325C1B" w:rsidRDefault="00325C1B" w:rsidP="00325C1B">
            <w:pPr>
              <w:spacing w:before="100" w:beforeAutospacing="1" w:after="100" w:afterAutospacing="1"/>
            </w:pPr>
            <w:r>
              <w:t>J</w:t>
            </w:r>
          </w:p>
        </w:tc>
        <w:tc>
          <w:tcPr>
            <w:tcW w:w="2880" w:type="dxa"/>
          </w:tcPr>
          <w:p w14:paraId="0EA16E86" w14:textId="77777777" w:rsidR="00325C1B" w:rsidRDefault="00325C1B" w:rsidP="00325C1B">
            <w:pPr>
              <w:spacing w:before="100" w:beforeAutospacing="1" w:after="100" w:afterAutospacing="1"/>
            </w:pPr>
            <w:r>
              <w:t>Requested Invoice Charges</w:t>
            </w:r>
          </w:p>
        </w:tc>
        <w:tc>
          <w:tcPr>
            <w:tcW w:w="3887" w:type="dxa"/>
          </w:tcPr>
          <w:p w14:paraId="6219D54E" w14:textId="77777777" w:rsidR="00325C1B" w:rsidRPr="00B27C18" w:rsidRDefault="00325C1B" w:rsidP="00325C1B">
            <w:pPr>
              <w:contextualSpacing/>
            </w:pPr>
            <w:r>
              <w:t>Excel automatically calculates</w:t>
            </w:r>
          </w:p>
        </w:tc>
        <w:tc>
          <w:tcPr>
            <w:tcW w:w="2564" w:type="dxa"/>
          </w:tcPr>
          <w:p w14:paraId="14190E3F" w14:textId="03251B8F" w:rsidR="00325C1B" w:rsidRDefault="00325C1B" w:rsidP="00325C1B">
            <w:pPr>
              <w:contextualSpacing/>
            </w:pPr>
            <w:r>
              <w:t>The sum of charges for that individual for that serv</w:t>
            </w:r>
            <w:r w:rsidR="004019AA">
              <w:t>ice calculated on tab C column H</w:t>
            </w:r>
          </w:p>
        </w:tc>
      </w:tr>
      <w:tr w:rsidR="00325C1B" w14:paraId="34B67B1C" w14:textId="77777777" w:rsidTr="00325C1B">
        <w:trPr>
          <w:jc w:val="center"/>
        </w:trPr>
        <w:tc>
          <w:tcPr>
            <w:tcW w:w="691" w:type="dxa"/>
          </w:tcPr>
          <w:p w14:paraId="73520109" w14:textId="77777777" w:rsidR="00325C1B" w:rsidRDefault="00325C1B" w:rsidP="00325C1B">
            <w:pPr>
              <w:spacing w:before="100" w:beforeAutospacing="1" w:after="100" w:afterAutospacing="1"/>
            </w:pPr>
            <w:r>
              <w:t>K</w:t>
            </w:r>
          </w:p>
        </w:tc>
        <w:tc>
          <w:tcPr>
            <w:tcW w:w="2880" w:type="dxa"/>
          </w:tcPr>
          <w:p w14:paraId="2BFE9A60" w14:textId="77777777" w:rsidR="00325C1B" w:rsidRDefault="00325C1B" w:rsidP="00325C1B">
            <w:pPr>
              <w:spacing w:before="100" w:beforeAutospacing="1" w:after="100" w:afterAutospacing="1"/>
            </w:pPr>
            <w:r>
              <w:t>Amount to be Paid</w:t>
            </w:r>
          </w:p>
        </w:tc>
        <w:tc>
          <w:tcPr>
            <w:tcW w:w="3887" w:type="dxa"/>
          </w:tcPr>
          <w:p w14:paraId="61752220" w14:textId="77777777" w:rsidR="00325C1B" w:rsidRPr="007E6DB2" w:rsidRDefault="00325C1B" w:rsidP="00325C1B">
            <w:pPr>
              <w:contextualSpacing/>
            </w:pPr>
            <w:r>
              <w:t>Excel automatically calculates</w:t>
            </w:r>
          </w:p>
        </w:tc>
        <w:tc>
          <w:tcPr>
            <w:tcW w:w="2564" w:type="dxa"/>
          </w:tcPr>
          <w:p w14:paraId="65AB09E1" w14:textId="77777777" w:rsidR="00325C1B" w:rsidRDefault="00325C1B" w:rsidP="00325C1B">
            <w:pPr>
              <w:contextualSpacing/>
            </w:pPr>
            <w:r>
              <w:t>If J &gt; I, then K = I</w:t>
            </w:r>
          </w:p>
          <w:p w14:paraId="6DA6D7EC" w14:textId="77777777" w:rsidR="00325C1B" w:rsidRPr="00B27C18" w:rsidRDefault="00325C1B" w:rsidP="00325C1B">
            <w:pPr>
              <w:contextualSpacing/>
            </w:pPr>
            <w:r>
              <w:t>If J &lt; I, then K = J</w:t>
            </w:r>
          </w:p>
        </w:tc>
      </w:tr>
      <w:tr w:rsidR="00325C1B" w14:paraId="01CFBF7C" w14:textId="77777777" w:rsidTr="00325C1B">
        <w:trPr>
          <w:trHeight w:val="530"/>
          <w:jc w:val="center"/>
        </w:trPr>
        <w:tc>
          <w:tcPr>
            <w:tcW w:w="691" w:type="dxa"/>
          </w:tcPr>
          <w:p w14:paraId="579DBD1C" w14:textId="77777777" w:rsidR="00325C1B" w:rsidRDefault="00325C1B" w:rsidP="00325C1B">
            <w:pPr>
              <w:spacing w:before="100" w:beforeAutospacing="1" w:after="100" w:afterAutospacing="1"/>
            </w:pPr>
            <w:r>
              <w:t>L</w:t>
            </w:r>
          </w:p>
        </w:tc>
        <w:tc>
          <w:tcPr>
            <w:tcW w:w="2880" w:type="dxa"/>
          </w:tcPr>
          <w:p w14:paraId="596CB024" w14:textId="77777777" w:rsidR="00325C1B" w:rsidRDefault="00325C1B" w:rsidP="00325C1B">
            <w:pPr>
              <w:spacing w:before="100" w:beforeAutospacing="1" w:after="100" w:afterAutospacing="1"/>
            </w:pPr>
            <w:r>
              <w:t>Unfunded Invoice Charges</w:t>
            </w:r>
          </w:p>
        </w:tc>
        <w:tc>
          <w:tcPr>
            <w:tcW w:w="3887" w:type="dxa"/>
          </w:tcPr>
          <w:p w14:paraId="39AE2E2B" w14:textId="77777777" w:rsidR="00325C1B" w:rsidRPr="00180C42" w:rsidRDefault="00325C1B" w:rsidP="00325C1B">
            <w:pPr>
              <w:spacing w:before="100" w:beforeAutospacing="1" w:after="100" w:afterAutospacing="1"/>
            </w:pPr>
            <w:r>
              <w:t>Excel automatically calculates</w:t>
            </w:r>
          </w:p>
        </w:tc>
        <w:tc>
          <w:tcPr>
            <w:tcW w:w="2564" w:type="dxa"/>
          </w:tcPr>
          <w:p w14:paraId="6A2E0055" w14:textId="77777777" w:rsidR="00325C1B" w:rsidRDefault="00325C1B" w:rsidP="00325C1B">
            <w:pPr>
              <w:spacing w:before="100" w:beforeAutospacing="1" w:after="100" w:afterAutospacing="1"/>
            </w:pPr>
            <w:r>
              <w:t>If J &gt; I, then L = I - J</w:t>
            </w:r>
          </w:p>
        </w:tc>
      </w:tr>
    </w:tbl>
    <w:p w14:paraId="19F19C2A" w14:textId="653C7D48" w:rsidR="00325C1B" w:rsidRPr="00365929" w:rsidRDefault="00325C1B" w:rsidP="00325C1B">
      <w:pPr>
        <w:pStyle w:val="Heading3"/>
        <w:rPr>
          <w:rFonts w:ascii="Georgia" w:hAnsi="Georgia"/>
          <w:sz w:val="24"/>
          <w:szCs w:val="24"/>
        </w:rPr>
      </w:pPr>
      <w:bookmarkStart w:id="12" w:name="_Toc39495137"/>
      <w:r w:rsidRPr="00365929">
        <w:rPr>
          <w:rFonts w:ascii="Georgia" w:hAnsi="Georgia"/>
          <w:sz w:val="24"/>
          <w:szCs w:val="24"/>
        </w:rPr>
        <w:t>Tab C: Consumer Service Detail</w:t>
      </w:r>
      <w:bookmarkEnd w:id="12"/>
    </w:p>
    <w:p w14:paraId="6500BFDD" w14:textId="77777777" w:rsidR="00325C1B" w:rsidRPr="00C77E74" w:rsidRDefault="00325C1B" w:rsidP="00325C1B">
      <w:pPr>
        <w:pStyle w:val="NoSpacing"/>
      </w:pPr>
    </w:p>
    <w:tbl>
      <w:tblPr>
        <w:tblStyle w:val="TableGrid"/>
        <w:tblW w:w="10022" w:type="dxa"/>
        <w:jc w:val="center"/>
        <w:tblLayout w:type="fixed"/>
        <w:tblLook w:val="04A0" w:firstRow="1" w:lastRow="0" w:firstColumn="1" w:lastColumn="0" w:noHBand="0" w:noVBand="1"/>
      </w:tblPr>
      <w:tblGrid>
        <w:gridCol w:w="691"/>
        <w:gridCol w:w="2880"/>
        <w:gridCol w:w="3887"/>
        <w:gridCol w:w="2564"/>
      </w:tblGrid>
      <w:tr w:rsidR="00325C1B" w:rsidRPr="003104CB" w14:paraId="57AC0EF3" w14:textId="77777777" w:rsidTr="00B10FC2">
        <w:trPr>
          <w:jc w:val="center"/>
        </w:trPr>
        <w:tc>
          <w:tcPr>
            <w:tcW w:w="691" w:type="dxa"/>
            <w:shd w:val="clear" w:color="auto" w:fill="FB5B5B"/>
          </w:tcPr>
          <w:p w14:paraId="68CD7280" w14:textId="1BDF9A08" w:rsidR="00325C1B" w:rsidRPr="005F2CD2" w:rsidRDefault="00325C1B" w:rsidP="00325C1B">
            <w:pPr>
              <w:spacing w:before="100" w:beforeAutospacing="1" w:after="100" w:afterAutospacing="1"/>
              <w:rPr>
                <w:b/>
                <w:spacing w:val="20"/>
              </w:rPr>
            </w:pPr>
            <w:r>
              <w:rPr>
                <w:b/>
                <w:spacing w:val="20"/>
              </w:rPr>
              <w:t>Col</w:t>
            </w:r>
          </w:p>
        </w:tc>
        <w:tc>
          <w:tcPr>
            <w:tcW w:w="2880" w:type="dxa"/>
            <w:shd w:val="clear" w:color="auto" w:fill="FB5B5B"/>
          </w:tcPr>
          <w:p w14:paraId="2CAE83F3" w14:textId="77777777" w:rsidR="00325C1B" w:rsidRPr="005F2CD2" w:rsidRDefault="00325C1B" w:rsidP="00325C1B">
            <w:pPr>
              <w:spacing w:before="100" w:beforeAutospacing="1" w:after="100" w:afterAutospacing="1"/>
              <w:rPr>
                <w:b/>
                <w:spacing w:val="20"/>
              </w:rPr>
            </w:pPr>
            <w:r>
              <w:rPr>
                <w:b/>
                <w:spacing w:val="20"/>
              </w:rPr>
              <w:t>Column Title</w:t>
            </w:r>
          </w:p>
        </w:tc>
        <w:tc>
          <w:tcPr>
            <w:tcW w:w="3887" w:type="dxa"/>
            <w:shd w:val="clear" w:color="auto" w:fill="FB5B5B"/>
          </w:tcPr>
          <w:p w14:paraId="3E08C6E3" w14:textId="77777777" w:rsidR="00325C1B" w:rsidRPr="005F2CD2" w:rsidRDefault="00325C1B" w:rsidP="00325C1B">
            <w:pPr>
              <w:spacing w:before="100" w:beforeAutospacing="1" w:after="100" w:afterAutospacing="1"/>
              <w:rPr>
                <w:b/>
                <w:spacing w:val="20"/>
              </w:rPr>
            </w:pPr>
            <w:r>
              <w:rPr>
                <w:b/>
                <w:spacing w:val="20"/>
              </w:rPr>
              <w:t>Description</w:t>
            </w:r>
          </w:p>
        </w:tc>
        <w:tc>
          <w:tcPr>
            <w:tcW w:w="2564" w:type="dxa"/>
            <w:shd w:val="clear" w:color="auto" w:fill="FB5B5B"/>
          </w:tcPr>
          <w:p w14:paraId="71C2C27C" w14:textId="77777777" w:rsidR="00325C1B" w:rsidRPr="005F2CD2" w:rsidRDefault="00325C1B" w:rsidP="00325C1B">
            <w:pPr>
              <w:spacing w:before="100" w:beforeAutospacing="1" w:after="100" w:afterAutospacing="1"/>
              <w:rPr>
                <w:b/>
                <w:spacing w:val="20"/>
              </w:rPr>
            </w:pPr>
            <w:r>
              <w:rPr>
                <w:b/>
                <w:spacing w:val="20"/>
              </w:rPr>
              <w:t>Calculation/Notes</w:t>
            </w:r>
          </w:p>
        </w:tc>
      </w:tr>
      <w:tr w:rsidR="00325C1B" w14:paraId="41EDB2EE" w14:textId="77777777" w:rsidTr="00325C1B">
        <w:trPr>
          <w:jc w:val="center"/>
        </w:trPr>
        <w:tc>
          <w:tcPr>
            <w:tcW w:w="691" w:type="dxa"/>
          </w:tcPr>
          <w:p w14:paraId="7EC65C83" w14:textId="77777777" w:rsidR="00325C1B" w:rsidRDefault="00325C1B" w:rsidP="00325C1B">
            <w:pPr>
              <w:spacing w:before="100" w:beforeAutospacing="1" w:after="100" w:afterAutospacing="1"/>
            </w:pPr>
            <w:r>
              <w:t>A</w:t>
            </w:r>
          </w:p>
        </w:tc>
        <w:tc>
          <w:tcPr>
            <w:tcW w:w="2880" w:type="dxa"/>
          </w:tcPr>
          <w:p w14:paraId="1AD7FE6F" w14:textId="77777777" w:rsidR="00325C1B" w:rsidRDefault="00325C1B" w:rsidP="00325C1B">
            <w:pPr>
              <w:spacing w:before="100" w:beforeAutospacing="1" w:after="100" w:afterAutospacing="1"/>
            </w:pPr>
            <w:r>
              <w:t>Consumer MA #</w:t>
            </w:r>
          </w:p>
        </w:tc>
        <w:tc>
          <w:tcPr>
            <w:tcW w:w="3887" w:type="dxa"/>
          </w:tcPr>
          <w:p w14:paraId="6B48B114" w14:textId="77777777" w:rsidR="00325C1B" w:rsidRDefault="00325C1B" w:rsidP="00325C1B">
            <w:pPr>
              <w:spacing w:before="100" w:beforeAutospacing="1" w:after="100" w:afterAutospacing="1"/>
            </w:pPr>
            <w:r>
              <w:t>Excel automatically populates</w:t>
            </w:r>
          </w:p>
        </w:tc>
        <w:tc>
          <w:tcPr>
            <w:tcW w:w="2564" w:type="dxa"/>
          </w:tcPr>
          <w:p w14:paraId="5EBE346A" w14:textId="1B0FB40F" w:rsidR="00325C1B" w:rsidRPr="00B87D4D" w:rsidRDefault="00EA2BCC" w:rsidP="00325C1B">
            <w:pPr>
              <w:spacing w:before="100" w:beforeAutospacing="1" w:after="100" w:afterAutospacing="1"/>
            </w:pPr>
            <w:r>
              <w:t>Field 9a on 1500 form</w:t>
            </w:r>
          </w:p>
        </w:tc>
      </w:tr>
      <w:tr w:rsidR="00EA2BCC" w14:paraId="20A99433" w14:textId="77777777" w:rsidTr="00325C1B">
        <w:trPr>
          <w:jc w:val="center"/>
        </w:trPr>
        <w:tc>
          <w:tcPr>
            <w:tcW w:w="691" w:type="dxa"/>
          </w:tcPr>
          <w:p w14:paraId="56F627EE" w14:textId="77777777" w:rsidR="00EA2BCC" w:rsidRDefault="00EA2BCC" w:rsidP="00325C1B">
            <w:pPr>
              <w:spacing w:before="100" w:beforeAutospacing="1" w:after="100" w:afterAutospacing="1"/>
            </w:pPr>
            <w:r>
              <w:t>B</w:t>
            </w:r>
          </w:p>
        </w:tc>
        <w:tc>
          <w:tcPr>
            <w:tcW w:w="2880" w:type="dxa"/>
          </w:tcPr>
          <w:p w14:paraId="3C66BCA3" w14:textId="77777777" w:rsidR="00EA2BCC" w:rsidRDefault="00EA2BCC" w:rsidP="00325C1B">
            <w:pPr>
              <w:spacing w:before="100" w:beforeAutospacing="1" w:after="100" w:afterAutospacing="1"/>
            </w:pPr>
            <w:r>
              <w:t>Consumer Last Name</w:t>
            </w:r>
          </w:p>
        </w:tc>
        <w:tc>
          <w:tcPr>
            <w:tcW w:w="3887" w:type="dxa"/>
          </w:tcPr>
          <w:p w14:paraId="4C5F97A0" w14:textId="77777777" w:rsidR="00EA2BCC" w:rsidRDefault="00EA2BCC" w:rsidP="00325C1B">
            <w:pPr>
              <w:spacing w:before="100" w:beforeAutospacing="1" w:after="100" w:afterAutospacing="1"/>
            </w:pPr>
            <w:r>
              <w:t>Input last name</w:t>
            </w:r>
          </w:p>
        </w:tc>
        <w:tc>
          <w:tcPr>
            <w:tcW w:w="2564" w:type="dxa"/>
            <w:vMerge w:val="restart"/>
          </w:tcPr>
          <w:p w14:paraId="0A48A9DF" w14:textId="66641973" w:rsidR="00EA2BCC" w:rsidRPr="00B87D4D" w:rsidRDefault="00EA2BCC" w:rsidP="00325C1B">
            <w:pPr>
              <w:spacing w:before="100" w:beforeAutospacing="1" w:after="100" w:afterAutospacing="1"/>
            </w:pPr>
            <w:r>
              <w:t>Field 2 on 1500 form; Last Name first, First Name last</w:t>
            </w:r>
          </w:p>
        </w:tc>
      </w:tr>
      <w:tr w:rsidR="00EA2BCC" w14:paraId="43E4C3DD" w14:textId="77777777" w:rsidTr="00325C1B">
        <w:trPr>
          <w:jc w:val="center"/>
        </w:trPr>
        <w:tc>
          <w:tcPr>
            <w:tcW w:w="691" w:type="dxa"/>
          </w:tcPr>
          <w:p w14:paraId="24A7273F" w14:textId="77777777" w:rsidR="00EA2BCC" w:rsidRDefault="00EA2BCC" w:rsidP="00325C1B">
            <w:pPr>
              <w:spacing w:before="100" w:beforeAutospacing="1" w:after="100" w:afterAutospacing="1"/>
            </w:pPr>
            <w:r>
              <w:t>C</w:t>
            </w:r>
          </w:p>
        </w:tc>
        <w:tc>
          <w:tcPr>
            <w:tcW w:w="2880" w:type="dxa"/>
          </w:tcPr>
          <w:p w14:paraId="3B9950A3" w14:textId="77777777" w:rsidR="00EA2BCC" w:rsidRDefault="00EA2BCC" w:rsidP="00325C1B">
            <w:pPr>
              <w:spacing w:before="100" w:beforeAutospacing="1" w:after="100" w:afterAutospacing="1"/>
            </w:pPr>
            <w:r>
              <w:t>Consumer First Name</w:t>
            </w:r>
          </w:p>
        </w:tc>
        <w:tc>
          <w:tcPr>
            <w:tcW w:w="3887" w:type="dxa"/>
          </w:tcPr>
          <w:p w14:paraId="03B75243" w14:textId="77777777" w:rsidR="00EA2BCC" w:rsidRDefault="00EA2BCC" w:rsidP="00325C1B">
            <w:pPr>
              <w:spacing w:before="100" w:beforeAutospacing="1" w:after="100" w:afterAutospacing="1"/>
            </w:pPr>
            <w:r>
              <w:t>Input first name</w:t>
            </w:r>
          </w:p>
        </w:tc>
        <w:tc>
          <w:tcPr>
            <w:tcW w:w="2564" w:type="dxa"/>
            <w:vMerge/>
          </w:tcPr>
          <w:p w14:paraId="2ADB8E09" w14:textId="4004758E" w:rsidR="00EA2BCC" w:rsidRPr="00B87D4D" w:rsidRDefault="00EA2BCC" w:rsidP="00325C1B">
            <w:pPr>
              <w:spacing w:before="100" w:beforeAutospacing="1" w:after="100" w:afterAutospacing="1"/>
            </w:pPr>
          </w:p>
        </w:tc>
      </w:tr>
      <w:tr w:rsidR="00325C1B" w14:paraId="3CF22838" w14:textId="77777777" w:rsidTr="00325C1B">
        <w:trPr>
          <w:jc w:val="center"/>
        </w:trPr>
        <w:tc>
          <w:tcPr>
            <w:tcW w:w="691" w:type="dxa"/>
          </w:tcPr>
          <w:p w14:paraId="3A3AD1E6" w14:textId="77777777" w:rsidR="00325C1B" w:rsidRDefault="00325C1B" w:rsidP="00325C1B">
            <w:pPr>
              <w:spacing w:before="100" w:beforeAutospacing="1" w:after="100" w:afterAutospacing="1"/>
            </w:pPr>
            <w:r>
              <w:t>D</w:t>
            </w:r>
          </w:p>
        </w:tc>
        <w:tc>
          <w:tcPr>
            <w:tcW w:w="2880" w:type="dxa"/>
          </w:tcPr>
          <w:p w14:paraId="7D932B82" w14:textId="6B6259E7" w:rsidR="00325C1B" w:rsidRDefault="000777B1" w:rsidP="00325C1B">
            <w:pPr>
              <w:spacing w:before="100" w:beforeAutospacing="1" w:after="100" w:afterAutospacing="1"/>
            </w:pPr>
            <w:r>
              <w:t xml:space="preserve">Non-FPS </w:t>
            </w:r>
            <w:r w:rsidR="005B1246">
              <w:t>Service*</w:t>
            </w:r>
          </w:p>
        </w:tc>
        <w:tc>
          <w:tcPr>
            <w:tcW w:w="3887" w:type="dxa"/>
          </w:tcPr>
          <w:p w14:paraId="11F91AF5" w14:textId="56D78624" w:rsidR="00325C1B" w:rsidRDefault="00325C1B" w:rsidP="00A42554">
            <w:r>
              <w:t xml:space="preserve">Choose the </w:t>
            </w:r>
            <w:r w:rsidR="000777B1">
              <w:t xml:space="preserve">Non-FPS </w:t>
            </w:r>
            <w:r w:rsidR="005B1246">
              <w:t>Service</w:t>
            </w:r>
            <w:r w:rsidR="00167BCF">
              <w:t>, State</w:t>
            </w:r>
            <w:r w:rsidR="00EA2BCC">
              <w:t>-Only Funded service</w:t>
            </w:r>
            <w:r w:rsidR="00A42554">
              <w:t xml:space="preserve">, or </w:t>
            </w:r>
            <w:r w:rsidR="00A42554" w:rsidRPr="00A14207">
              <w:rPr>
                <w:b/>
                <w:i/>
              </w:rPr>
              <w:t>COVID-19 service</w:t>
            </w:r>
            <w:r w:rsidR="00EA2BCC">
              <w:t xml:space="preserve"> </w:t>
            </w:r>
            <w:r>
              <w:t xml:space="preserve">from the dropdown list. </w:t>
            </w:r>
          </w:p>
        </w:tc>
        <w:tc>
          <w:tcPr>
            <w:tcW w:w="2564" w:type="dxa"/>
          </w:tcPr>
          <w:p w14:paraId="1C8BDEE1" w14:textId="77777777" w:rsidR="00325C1B" w:rsidRPr="00B87D4D" w:rsidRDefault="00325C1B" w:rsidP="00325C1B">
            <w:pPr>
              <w:spacing w:before="100" w:beforeAutospacing="1" w:after="100" w:afterAutospacing="1"/>
            </w:pPr>
          </w:p>
        </w:tc>
      </w:tr>
      <w:tr w:rsidR="00325C1B" w14:paraId="2208FC32" w14:textId="77777777" w:rsidTr="00325C1B">
        <w:trPr>
          <w:jc w:val="center"/>
        </w:trPr>
        <w:tc>
          <w:tcPr>
            <w:tcW w:w="691" w:type="dxa"/>
          </w:tcPr>
          <w:p w14:paraId="412B0D7C" w14:textId="336786C4" w:rsidR="00325C1B" w:rsidRDefault="005B1246" w:rsidP="00325C1B">
            <w:pPr>
              <w:spacing w:before="100" w:beforeAutospacing="1" w:after="100" w:afterAutospacing="1"/>
            </w:pPr>
            <w:r>
              <w:t>E</w:t>
            </w:r>
          </w:p>
        </w:tc>
        <w:tc>
          <w:tcPr>
            <w:tcW w:w="2880" w:type="dxa"/>
          </w:tcPr>
          <w:p w14:paraId="2BB11694" w14:textId="77777777" w:rsidR="00325C1B" w:rsidRDefault="00325C1B" w:rsidP="00325C1B">
            <w:pPr>
              <w:spacing w:before="100" w:beforeAutospacing="1" w:after="100" w:afterAutospacing="1"/>
            </w:pPr>
            <w:r>
              <w:t>Date of Service</w:t>
            </w:r>
          </w:p>
        </w:tc>
        <w:tc>
          <w:tcPr>
            <w:tcW w:w="3887" w:type="dxa"/>
          </w:tcPr>
          <w:p w14:paraId="43BBFF03" w14:textId="3B0B435C" w:rsidR="00325C1B" w:rsidRDefault="00325C1B" w:rsidP="00325C1B">
            <w:pPr>
              <w:contextualSpacing/>
            </w:pPr>
            <w:r>
              <w:t>Input date that service was provided or cost was incurred</w:t>
            </w:r>
            <w:r w:rsidR="0056213C">
              <w:t xml:space="preserve"> (must be in FY20)</w:t>
            </w:r>
            <w:r w:rsidR="00C11288">
              <w:t xml:space="preserve">; </w:t>
            </w:r>
            <w:r w:rsidR="00C11288" w:rsidRPr="00A14207">
              <w:rPr>
                <w:b/>
                <w:i/>
              </w:rPr>
              <w:t>COVID-19 services effective March 13, 2020- March 12, 2021</w:t>
            </w:r>
          </w:p>
        </w:tc>
        <w:tc>
          <w:tcPr>
            <w:tcW w:w="2564" w:type="dxa"/>
          </w:tcPr>
          <w:p w14:paraId="1E32E85D" w14:textId="29313AA7" w:rsidR="00325C1B" w:rsidRPr="00B87D4D" w:rsidRDefault="00EA2BCC" w:rsidP="00325C1B">
            <w:pPr>
              <w:contextualSpacing/>
            </w:pPr>
            <w:r>
              <w:t>Field 24A on 1500 form</w:t>
            </w:r>
          </w:p>
        </w:tc>
      </w:tr>
      <w:tr w:rsidR="00325C1B" w14:paraId="413406F6" w14:textId="77777777" w:rsidTr="00325C1B">
        <w:trPr>
          <w:jc w:val="center"/>
        </w:trPr>
        <w:tc>
          <w:tcPr>
            <w:tcW w:w="691" w:type="dxa"/>
          </w:tcPr>
          <w:p w14:paraId="4DBFDDC9" w14:textId="017EC945" w:rsidR="00325C1B" w:rsidRDefault="005B1246" w:rsidP="00325C1B">
            <w:pPr>
              <w:spacing w:before="100" w:beforeAutospacing="1" w:after="100" w:afterAutospacing="1"/>
            </w:pPr>
            <w:r>
              <w:t>F</w:t>
            </w:r>
          </w:p>
        </w:tc>
        <w:tc>
          <w:tcPr>
            <w:tcW w:w="2880" w:type="dxa"/>
          </w:tcPr>
          <w:p w14:paraId="54AC36C5" w14:textId="77777777" w:rsidR="00325C1B" w:rsidRDefault="00325C1B" w:rsidP="00325C1B">
            <w:pPr>
              <w:spacing w:before="100" w:beforeAutospacing="1" w:after="100" w:afterAutospacing="1"/>
            </w:pPr>
            <w:r>
              <w:t>Unit Charge</w:t>
            </w:r>
          </w:p>
        </w:tc>
        <w:tc>
          <w:tcPr>
            <w:tcW w:w="3887" w:type="dxa"/>
          </w:tcPr>
          <w:p w14:paraId="6DBDF9BB" w14:textId="59A98C1A" w:rsidR="00325C1B" w:rsidRPr="00180C42" w:rsidRDefault="0056213C" w:rsidP="0056213C">
            <w:pPr>
              <w:spacing w:before="100" w:beforeAutospacing="1" w:after="100" w:afterAutospacing="1"/>
            </w:pPr>
            <w:r>
              <w:t xml:space="preserve">Excel automatically populates </w:t>
            </w:r>
          </w:p>
        </w:tc>
        <w:tc>
          <w:tcPr>
            <w:tcW w:w="2564" w:type="dxa"/>
          </w:tcPr>
          <w:p w14:paraId="2C2276CB" w14:textId="0EFAC89A" w:rsidR="00325C1B" w:rsidRPr="00B87D4D" w:rsidRDefault="006B26EB" w:rsidP="00325C1B">
            <w:pPr>
              <w:spacing w:before="100" w:beforeAutospacing="1" w:after="100" w:afterAutospacing="1"/>
            </w:pPr>
            <w:r>
              <w:t>Rates will prepopulate for rate-based services</w:t>
            </w:r>
          </w:p>
        </w:tc>
      </w:tr>
      <w:tr w:rsidR="00325C1B" w14:paraId="2066FA7E" w14:textId="77777777" w:rsidTr="0056213C">
        <w:trPr>
          <w:trHeight w:val="2420"/>
          <w:jc w:val="center"/>
        </w:trPr>
        <w:tc>
          <w:tcPr>
            <w:tcW w:w="691" w:type="dxa"/>
          </w:tcPr>
          <w:p w14:paraId="03FBF492" w14:textId="18DC5C7A" w:rsidR="00325C1B" w:rsidRDefault="005B1246" w:rsidP="00325C1B">
            <w:pPr>
              <w:spacing w:before="100" w:beforeAutospacing="1" w:after="100" w:afterAutospacing="1"/>
            </w:pPr>
            <w:r>
              <w:lastRenderedPageBreak/>
              <w:t>G</w:t>
            </w:r>
          </w:p>
        </w:tc>
        <w:tc>
          <w:tcPr>
            <w:tcW w:w="2880" w:type="dxa"/>
          </w:tcPr>
          <w:p w14:paraId="73E23969" w14:textId="77631EC0" w:rsidR="00325C1B" w:rsidRDefault="0056213C" w:rsidP="00325C1B">
            <w:pPr>
              <w:spacing w:before="100" w:beforeAutospacing="1" w:after="100" w:afterAutospacing="1"/>
            </w:pPr>
            <w:r>
              <w:t>Costs or Units</w:t>
            </w:r>
          </w:p>
        </w:tc>
        <w:tc>
          <w:tcPr>
            <w:tcW w:w="3887" w:type="dxa"/>
          </w:tcPr>
          <w:p w14:paraId="48C17013" w14:textId="77F61046" w:rsidR="00325C1B" w:rsidRDefault="00294BB1" w:rsidP="00325C1B">
            <w:pPr>
              <w:contextualSpacing/>
            </w:pPr>
            <w:r>
              <w:t xml:space="preserve">Must be populated; </w:t>
            </w:r>
            <w:r w:rsidR="00325C1B">
              <w:t>Input the total amount of units that were p</w:t>
            </w:r>
            <w:r w:rsidR="0056213C">
              <w:t xml:space="preserve">rovided for the date of service or the cost of the service. </w:t>
            </w:r>
            <w:r w:rsidR="00325C1B">
              <w:t xml:space="preserve"> </w:t>
            </w:r>
          </w:p>
          <w:p w14:paraId="3FF5575A" w14:textId="3E53AB24" w:rsidR="00325C1B" w:rsidRDefault="00325C1B" w:rsidP="00325C1B">
            <w:pPr>
              <w:pStyle w:val="ListParagraph"/>
              <w:numPr>
                <w:ilvl w:val="0"/>
                <w:numId w:val="18"/>
              </w:numPr>
              <w:spacing w:before="0" w:after="0" w:line="240" w:lineRule="auto"/>
            </w:pPr>
            <w:r>
              <w:t>A unit is a determinate quantity (i</w:t>
            </w:r>
            <w:r w:rsidR="00937D8F">
              <w:t xml:space="preserve">.e. hour, day, </w:t>
            </w:r>
            <w:r w:rsidR="00E20A60">
              <w:t>and month</w:t>
            </w:r>
            <w:r>
              <w:t>). The description of the unit should b</w:t>
            </w:r>
            <w:r w:rsidR="0056213C">
              <w:t>e located in an individual’s PCP</w:t>
            </w:r>
          </w:p>
          <w:p w14:paraId="4224F85A" w14:textId="4AFBE3B0" w:rsidR="00325C1B" w:rsidRPr="00797248" w:rsidRDefault="00325C1B" w:rsidP="00F13C7F">
            <w:pPr>
              <w:pStyle w:val="ListParagraph"/>
              <w:numPr>
                <w:ilvl w:val="0"/>
                <w:numId w:val="18"/>
              </w:numPr>
              <w:spacing w:before="0" w:after="0" w:line="240" w:lineRule="auto"/>
            </w:pPr>
            <w:r>
              <w:t xml:space="preserve">If an </w:t>
            </w:r>
            <w:r w:rsidR="00EF1EA2">
              <w:t>Item</w:t>
            </w:r>
            <w:r>
              <w:t xml:space="preserve">, </w:t>
            </w:r>
            <w:r w:rsidR="00F13C7F">
              <w:t>unit would be 1</w:t>
            </w:r>
          </w:p>
        </w:tc>
        <w:tc>
          <w:tcPr>
            <w:tcW w:w="2564" w:type="dxa"/>
          </w:tcPr>
          <w:p w14:paraId="558FCDCA" w14:textId="77777777" w:rsidR="008921E6" w:rsidRDefault="00F13C7F" w:rsidP="00325C1B">
            <w:pPr>
              <w:contextualSpacing/>
            </w:pPr>
            <w:r>
              <w:t>Cost- Field 24F</w:t>
            </w:r>
            <w:r w:rsidR="008921E6">
              <w:t>; Supported Living daily rate from PCIS2</w:t>
            </w:r>
          </w:p>
          <w:p w14:paraId="3C5AAEE7" w14:textId="79F8B6F5" w:rsidR="00F13C7F" w:rsidRDefault="00F13C7F" w:rsidP="00325C1B">
            <w:pPr>
              <w:contextualSpacing/>
            </w:pPr>
            <w:r>
              <w:t xml:space="preserve"> </w:t>
            </w:r>
          </w:p>
          <w:p w14:paraId="1F587AAD" w14:textId="533C35A0" w:rsidR="00D50E85" w:rsidRPr="00797248" w:rsidRDefault="00F13C7F" w:rsidP="00325C1B">
            <w:pPr>
              <w:contextualSpacing/>
            </w:pPr>
            <w:r>
              <w:t xml:space="preserve">Units- </w:t>
            </w:r>
            <w:r w:rsidR="00EA2BCC">
              <w:t>Field 24G on 1500 form</w:t>
            </w:r>
            <w:r w:rsidR="00EF1EA2">
              <w:t>; see</w:t>
            </w:r>
            <w:r w:rsidR="00117CDC">
              <w:t xml:space="preserve"> Service Units on page 3</w:t>
            </w:r>
          </w:p>
        </w:tc>
      </w:tr>
      <w:tr w:rsidR="00325C1B" w14:paraId="1193BCA6" w14:textId="77777777" w:rsidTr="00325C1B">
        <w:trPr>
          <w:jc w:val="center"/>
        </w:trPr>
        <w:tc>
          <w:tcPr>
            <w:tcW w:w="691" w:type="dxa"/>
          </w:tcPr>
          <w:p w14:paraId="29A47DBB" w14:textId="08D690BC" w:rsidR="00325C1B" w:rsidRDefault="005B1246" w:rsidP="00325C1B">
            <w:pPr>
              <w:spacing w:before="100" w:beforeAutospacing="1" w:after="100" w:afterAutospacing="1"/>
            </w:pPr>
            <w:r>
              <w:t>H</w:t>
            </w:r>
          </w:p>
        </w:tc>
        <w:tc>
          <w:tcPr>
            <w:tcW w:w="2880" w:type="dxa"/>
          </w:tcPr>
          <w:p w14:paraId="26782D20" w14:textId="77777777" w:rsidR="00325C1B" w:rsidRDefault="00325C1B" w:rsidP="00325C1B">
            <w:pPr>
              <w:spacing w:before="100" w:beforeAutospacing="1" w:after="100" w:afterAutospacing="1"/>
            </w:pPr>
            <w:r>
              <w:t>Total Charge $</w:t>
            </w:r>
          </w:p>
        </w:tc>
        <w:tc>
          <w:tcPr>
            <w:tcW w:w="3887" w:type="dxa"/>
          </w:tcPr>
          <w:p w14:paraId="6B67F552" w14:textId="77777777" w:rsidR="00325C1B" w:rsidRPr="00180C42" w:rsidRDefault="00325C1B" w:rsidP="00325C1B">
            <w:r>
              <w:t>Excel automatically calculates</w:t>
            </w:r>
          </w:p>
        </w:tc>
        <w:tc>
          <w:tcPr>
            <w:tcW w:w="2564" w:type="dxa"/>
          </w:tcPr>
          <w:p w14:paraId="0E3B3CAF" w14:textId="16C7004F" w:rsidR="00325C1B" w:rsidRDefault="005B1246" w:rsidP="00F13C7F">
            <w:pPr>
              <w:contextualSpacing/>
            </w:pPr>
            <w:r>
              <w:t>F * G</w:t>
            </w:r>
            <w:r w:rsidR="00F13C7F">
              <w:t xml:space="preserve">; Field 28 on 1500 form is Total of Charges in field 24F </w:t>
            </w:r>
          </w:p>
        </w:tc>
      </w:tr>
      <w:tr w:rsidR="00325C1B" w14:paraId="344CC771" w14:textId="77777777" w:rsidTr="00325C1B">
        <w:trPr>
          <w:jc w:val="center"/>
        </w:trPr>
        <w:tc>
          <w:tcPr>
            <w:tcW w:w="691" w:type="dxa"/>
          </w:tcPr>
          <w:p w14:paraId="6BB8F32F" w14:textId="32C1A2BC" w:rsidR="00325C1B" w:rsidRDefault="005B1246" w:rsidP="00325C1B">
            <w:pPr>
              <w:spacing w:before="100" w:beforeAutospacing="1" w:after="100" w:afterAutospacing="1"/>
            </w:pPr>
            <w:r>
              <w:t>I</w:t>
            </w:r>
          </w:p>
        </w:tc>
        <w:tc>
          <w:tcPr>
            <w:tcW w:w="2880" w:type="dxa"/>
          </w:tcPr>
          <w:p w14:paraId="31564BD5" w14:textId="77777777" w:rsidR="00325C1B" w:rsidRDefault="00325C1B" w:rsidP="00325C1B">
            <w:pPr>
              <w:spacing w:before="100" w:beforeAutospacing="1" w:after="100" w:afterAutospacing="1"/>
            </w:pPr>
            <w:r>
              <w:t>Waiver Procedure Code</w:t>
            </w:r>
          </w:p>
        </w:tc>
        <w:tc>
          <w:tcPr>
            <w:tcW w:w="3887" w:type="dxa"/>
          </w:tcPr>
          <w:p w14:paraId="56A80AA9" w14:textId="77777777" w:rsidR="00325C1B" w:rsidRPr="00B27C18" w:rsidRDefault="00325C1B" w:rsidP="00325C1B">
            <w:pPr>
              <w:contextualSpacing/>
            </w:pPr>
            <w:r>
              <w:t>Excel automatically populates</w:t>
            </w:r>
          </w:p>
        </w:tc>
        <w:tc>
          <w:tcPr>
            <w:tcW w:w="2564" w:type="dxa"/>
          </w:tcPr>
          <w:p w14:paraId="07ADDEE6" w14:textId="2E401056" w:rsidR="00325C1B" w:rsidRDefault="00117CDC" w:rsidP="00325C1B">
            <w:pPr>
              <w:contextualSpacing/>
            </w:pPr>
            <w:r>
              <w:t>Field 24D on 1500 form</w:t>
            </w:r>
          </w:p>
        </w:tc>
      </w:tr>
      <w:tr w:rsidR="00325C1B" w14:paraId="1C032193" w14:textId="77777777" w:rsidTr="00325C1B">
        <w:trPr>
          <w:jc w:val="center"/>
        </w:trPr>
        <w:tc>
          <w:tcPr>
            <w:tcW w:w="691" w:type="dxa"/>
          </w:tcPr>
          <w:p w14:paraId="008C0223" w14:textId="3B65BD10" w:rsidR="00325C1B" w:rsidRDefault="005B1246" w:rsidP="00325C1B">
            <w:pPr>
              <w:spacing w:before="100" w:beforeAutospacing="1" w:after="100" w:afterAutospacing="1"/>
            </w:pPr>
            <w:r>
              <w:t>J</w:t>
            </w:r>
          </w:p>
        </w:tc>
        <w:tc>
          <w:tcPr>
            <w:tcW w:w="2880" w:type="dxa"/>
          </w:tcPr>
          <w:p w14:paraId="163AA227" w14:textId="77777777" w:rsidR="00325C1B" w:rsidRDefault="00325C1B" w:rsidP="00325C1B">
            <w:pPr>
              <w:spacing w:before="100" w:beforeAutospacing="1" w:after="100" w:afterAutospacing="1"/>
            </w:pPr>
            <w:r>
              <w:t>Receipt Needed</w:t>
            </w:r>
          </w:p>
        </w:tc>
        <w:tc>
          <w:tcPr>
            <w:tcW w:w="3887" w:type="dxa"/>
          </w:tcPr>
          <w:p w14:paraId="626B76CD" w14:textId="19BBF59C" w:rsidR="00325C1B" w:rsidRPr="007E6DB2" w:rsidRDefault="00325C1B" w:rsidP="00325C1B">
            <w:pPr>
              <w:contextualSpacing/>
            </w:pPr>
            <w:r>
              <w:t>Excel auto</w:t>
            </w:r>
            <w:r w:rsidR="00937D8F">
              <w:t>matically populates. If column J</w:t>
            </w:r>
            <w:r>
              <w:t xml:space="preserve"> is “Yes,” then a receipt and/or other documentation is needed to substantiate the cost or service</w:t>
            </w:r>
          </w:p>
        </w:tc>
        <w:tc>
          <w:tcPr>
            <w:tcW w:w="2564" w:type="dxa"/>
          </w:tcPr>
          <w:p w14:paraId="79EE6E89" w14:textId="443F3D84" w:rsidR="00325C1B" w:rsidRPr="00A42554" w:rsidRDefault="00A42554" w:rsidP="00A42554">
            <w:pPr>
              <w:contextualSpacing/>
            </w:pPr>
            <w:r w:rsidRPr="00A14207">
              <w:rPr>
                <w:b/>
                <w:i/>
              </w:rPr>
              <w:t>COVID-19 services: No documentation needs to be submitted with the invoice but must be</w:t>
            </w:r>
            <w:r>
              <w:t xml:space="preserve"> </w:t>
            </w:r>
            <w:r w:rsidRPr="00A14207">
              <w:rPr>
                <w:b/>
                <w:i/>
              </w:rPr>
              <w:t>available to DDA upon request. Includes documentation of a positive COVID test for isolation rates.</w:t>
            </w:r>
          </w:p>
        </w:tc>
      </w:tr>
      <w:tr w:rsidR="00325C1B" w14:paraId="66C7777E" w14:textId="77777777" w:rsidTr="00325C1B">
        <w:trPr>
          <w:jc w:val="center"/>
        </w:trPr>
        <w:tc>
          <w:tcPr>
            <w:tcW w:w="691" w:type="dxa"/>
          </w:tcPr>
          <w:p w14:paraId="3F2BCC69" w14:textId="72AB4069" w:rsidR="00325C1B" w:rsidRDefault="005B1246" w:rsidP="00325C1B">
            <w:pPr>
              <w:spacing w:before="100" w:beforeAutospacing="1" w:after="100" w:afterAutospacing="1"/>
            </w:pPr>
            <w:r>
              <w:t>K</w:t>
            </w:r>
          </w:p>
        </w:tc>
        <w:tc>
          <w:tcPr>
            <w:tcW w:w="2880" w:type="dxa"/>
          </w:tcPr>
          <w:p w14:paraId="0E4DA0FA" w14:textId="77777777" w:rsidR="00325C1B" w:rsidRDefault="00325C1B" w:rsidP="00325C1B">
            <w:pPr>
              <w:spacing w:before="100" w:beforeAutospacing="1" w:after="100" w:afterAutospacing="1"/>
            </w:pPr>
            <w:r>
              <w:t xml:space="preserve">Claim Needed </w:t>
            </w:r>
          </w:p>
        </w:tc>
        <w:tc>
          <w:tcPr>
            <w:tcW w:w="3887" w:type="dxa"/>
          </w:tcPr>
          <w:p w14:paraId="53255F93" w14:textId="2B4DE8FC" w:rsidR="00325C1B" w:rsidRPr="00180C42" w:rsidRDefault="00325C1B" w:rsidP="00325C1B">
            <w:pPr>
              <w:spacing w:before="100" w:beforeAutospacing="1" w:after="100" w:afterAutospacing="1"/>
            </w:pPr>
            <w:r>
              <w:t>Excel automati</w:t>
            </w:r>
            <w:r w:rsidR="00937D8F">
              <w:t>cally populates. If the column K</w:t>
            </w:r>
            <w:r>
              <w:t xml:space="preserve"> is “Yes,” then the provider must submit a claim for the service or good</w:t>
            </w:r>
          </w:p>
        </w:tc>
        <w:tc>
          <w:tcPr>
            <w:tcW w:w="2564" w:type="dxa"/>
          </w:tcPr>
          <w:p w14:paraId="5BD0728D" w14:textId="77777777" w:rsidR="00325C1B" w:rsidRDefault="00325C1B" w:rsidP="00325C1B">
            <w:pPr>
              <w:spacing w:before="100" w:beforeAutospacing="1" w:after="100" w:afterAutospacing="1"/>
            </w:pPr>
          </w:p>
        </w:tc>
      </w:tr>
    </w:tbl>
    <w:p w14:paraId="0D4008AC" w14:textId="1DB4AFBC" w:rsidR="00325C1B" w:rsidRDefault="00325C1B" w:rsidP="00325C1B">
      <w:r>
        <w:t>*DDA is unable to obtain Federal Medical Assistance Participation if a service is listed as “</w:t>
      </w:r>
      <w:r w:rsidR="005B1246">
        <w:t>State-Only Funded.” The purpose of Column D</w:t>
      </w:r>
      <w:r>
        <w:t xml:space="preserve"> is to gain a description of the services or good being provided in order to help ensure that all allowable federal claims are submitted for reimbursement. </w:t>
      </w:r>
    </w:p>
    <w:p w14:paraId="6C997789" w14:textId="5CC56635" w:rsidR="00325C1B" w:rsidRDefault="00FB7BF2" w:rsidP="00325C1B">
      <w:pPr>
        <w:pStyle w:val="Heading1"/>
      </w:pPr>
      <w:bookmarkStart w:id="13" w:name="_Toc39495138"/>
      <w:r>
        <w:t>COVID-19</w:t>
      </w:r>
      <w:r w:rsidR="0013733A">
        <w:t xml:space="preserve"> Non-FPS Services</w:t>
      </w:r>
      <w:r>
        <w:t xml:space="preserve"> </w:t>
      </w:r>
      <w:r w:rsidR="00325C1B">
        <w:t>Medicaid Claims Submission</w:t>
      </w:r>
      <w:bookmarkEnd w:id="13"/>
    </w:p>
    <w:p w14:paraId="568BC6CB" w14:textId="78F2366C" w:rsidR="00325C1B" w:rsidRDefault="00A42554" w:rsidP="00325C1B">
      <w:r>
        <w:t xml:space="preserve">COVID-19 services cost invoices must </w:t>
      </w:r>
      <w:r w:rsidR="00C11288">
        <w:t>include</w:t>
      </w:r>
      <w:r w:rsidR="00FB7BF2">
        <w:t xml:space="preserve"> paper 1500 forms </w:t>
      </w:r>
      <w:r w:rsidR="00C11288">
        <w:t xml:space="preserve">for Waiver eligible services </w:t>
      </w:r>
      <w:r>
        <w:t>and should not be submitted electronically.</w:t>
      </w:r>
    </w:p>
    <w:p w14:paraId="57CD547D" w14:textId="77777777" w:rsidR="00325C1B" w:rsidRPr="00365929" w:rsidRDefault="00325C1B" w:rsidP="00325C1B">
      <w:pPr>
        <w:pStyle w:val="Heading2"/>
        <w:rPr>
          <w:rFonts w:ascii="Georgia" w:hAnsi="Georgia"/>
          <w:sz w:val="24"/>
          <w:szCs w:val="24"/>
        </w:rPr>
      </w:pPr>
      <w:bookmarkStart w:id="14" w:name="_Toc39495139"/>
      <w:r w:rsidRPr="00365929">
        <w:rPr>
          <w:rFonts w:ascii="Georgia" w:hAnsi="Georgia"/>
          <w:sz w:val="24"/>
          <w:szCs w:val="24"/>
        </w:rPr>
        <w:t>Paper Billing</w:t>
      </w:r>
      <w:bookmarkEnd w:id="14"/>
    </w:p>
    <w:p w14:paraId="493A2C24" w14:textId="77AFB94A" w:rsidR="007E674B" w:rsidRDefault="00325C1B" w:rsidP="00325C1B">
      <w:r>
        <w:t>Providers must use the CMS-1500 billing form version 02/12. A sample form has been posted to the DDA website, under the Provider tab (</w:t>
      </w:r>
      <w:hyperlink r:id="rId29" w:history="1">
        <w:r w:rsidRPr="00067A1D">
          <w:rPr>
            <w:rStyle w:val="Hyperlink"/>
          </w:rPr>
          <w:t>http://dda.dhmh.maryland.gov/Pages/Developments/2015/sample%20cms%201500%20form%20icd10.pdf</w:t>
        </w:r>
      </w:hyperlink>
      <w:r>
        <w:t>) that shows all of the required fields that must be filled out. Make sure all information entered on the claim form is</w:t>
      </w:r>
      <w:r w:rsidR="00466FC9">
        <w:t xml:space="preserve"> legible and</w:t>
      </w:r>
      <w:r>
        <w:t xml:space="preserve"> </w:t>
      </w:r>
      <w:r w:rsidR="001F71E9">
        <w:t>accurate</w:t>
      </w:r>
      <w:r>
        <w:t>, including your Provider Number and the Participant’s Medical Assistance ID Number.</w:t>
      </w:r>
      <w:r w:rsidR="00A077B2">
        <w:t xml:space="preserve"> </w:t>
      </w:r>
      <w:r>
        <w:t xml:space="preserve">For more instructions on federal billing, please visit the DDA website at </w:t>
      </w:r>
      <w:hyperlink r:id="rId30" w:history="1">
        <w:r w:rsidR="007E674B" w:rsidRPr="00B87E21">
          <w:rPr>
            <w:rStyle w:val="Hyperlink"/>
          </w:rPr>
          <w:t>https://dda.health.maryland.gov/Pages/Federal%20Billing.aspx</w:t>
        </w:r>
      </w:hyperlink>
      <w:r w:rsidR="007E674B">
        <w:t xml:space="preserve">. </w:t>
      </w:r>
    </w:p>
    <w:p w14:paraId="6150090E" w14:textId="77777777" w:rsidR="00793901" w:rsidRDefault="00793901" w:rsidP="00325C1B"/>
    <w:p w14:paraId="6D2774F2" w14:textId="77777777" w:rsidR="00466FC9" w:rsidRDefault="00466FC9" w:rsidP="00325C1B">
      <w:pPr>
        <w:sectPr w:rsidR="00466FC9" w:rsidSect="00325C1B">
          <w:headerReference w:type="default" r:id="rId31"/>
          <w:footerReference w:type="default" r:id="rId32"/>
          <w:headerReference w:type="first" r:id="rId33"/>
          <w:footerReference w:type="first" r:id="rId34"/>
          <w:type w:val="continuous"/>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2029E90" w14:textId="62B52114" w:rsidR="00466FC9" w:rsidRPr="00A077B2" w:rsidRDefault="00A077B2" w:rsidP="00466FC9">
      <w:pPr>
        <w:spacing w:after="160"/>
        <w:ind w:left="-360"/>
        <w:rPr>
          <w:rFonts w:cs="Times New Roman"/>
          <w:b/>
          <w:i/>
          <w:color w:val="000000"/>
          <w:u w:val="single"/>
        </w:rPr>
      </w:pPr>
      <w:r w:rsidRPr="00A077B2">
        <w:rPr>
          <w:rFonts w:cs="Times New Roman"/>
          <w:b/>
          <w:i/>
          <w:color w:val="000000"/>
          <w:u w:val="single"/>
        </w:rPr>
        <w:t xml:space="preserve">IMPORTANT </w:t>
      </w:r>
      <w:r w:rsidR="00466FC9" w:rsidRPr="00A077B2">
        <w:rPr>
          <w:rFonts w:cs="Times New Roman"/>
          <w:b/>
          <w:i/>
          <w:color w:val="000000"/>
          <w:u w:val="single"/>
        </w:rPr>
        <w:t>1500 FORM BILLING TIPS:</w:t>
      </w:r>
    </w:p>
    <w:p w14:paraId="6C85B784" w14:textId="2E94BD84" w:rsidR="00466FC9" w:rsidRDefault="00466FC9" w:rsidP="00466FC9">
      <w:pPr>
        <w:pStyle w:val="ListParagraph"/>
        <w:numPr>
          <w:ilvl w:val="0"/>
          <w:numId w:val="22"/>
        </w:numPr>
        <w:spacing w:after="160"/>
        <w:rPr>
          <w:rFonts w:cs="Times New Roman"/>
          <w:color w:val="000000"/>
          <w:sz w:val="24"/>
          <w:szCs w:val="24"/>
        </w:rPr>
      </w:pPr>
      <w:r w:rsidRPr="00466FC9">
        <w:rPr>
          <w:rFonts w:cs="Times New Roman"/>
          <w:color w:val="000000"/>
          <w:sz w:val="24"/>
          <w:szCs w:val="24"/>
        </w:rPr>
        <w:t>Name</w:t>
      </w:r>
      <w:r w:rsidR="002E57CA">
        <w:rPr>
          <w:rFonts w:cs="Times New Roman"/>
          <w:color w:val="000000"/>
          <w:sz w:val="24"/>
          <w:szCs w:val="24"/>
        </w:rPr>
        <w:t xml:space="preserve"> (2)</w:t>
      </w:r>
      <w:r w:rsidRPr="00466FC9">
        <w:rPr>
          <w:rFonts w:cs="Times New Roman"/>
          <w:color w:val="000000"/>
          <w:sz w:val="24"/>
          <w:szCs w:val="24"/>
        </w:rPr>
        <w:t>- Last name first, first name last (</w:t>
      </w:r>
      <w:r>
        <w:rPr>
          <w:rFonts w:cs="Times New Roman"/>
          <w:color w:val="000000"/>
          <w:sz w:val="24"/>
          <w:szCs w:val="24"/>
        </w:rPr>
        <w:t>Smith, John)</w:t>
      </w:r>
      <w:r w:rsidR="00A077B2">
        <w:rPr>
          <w:rFonts w:cs="Times New Roman"/>
          <w:color w:val="000000"/>
          <w:sz w:val="24"/>
          <w:szCs w:val="24"/>
        </w:rPr>
        <w:t xml:space="preserve">; must match spelling in </w:t>
      </w:r>
      <w:r w:rsidR="002E57CA">
        <w:rPr>
          <w:rFonts w:cs="Times New Roman"/>
          <w:color w:val="000000"/>
          <w:sz w:val="24"/>
          <w:szCs w:val="24"/>
        </w:rPr>
        <w:t>MMIS</w:t>
      </w:r>
    </w:p>
    <w:p w14:paraId="03EC22EF" w14:textId="1B374E8B" w:rsidR="00466FC9" w:rsidRDefault="00466FC9" w:rsidP="00466FC9">
      <w:pPr>
        <w:pStyle w:val="ListParagraph"/>
        <w:numPr>
          <w:ilvl w:val="0"/>
          <w:numId w:val="22"/>
        </w:numPr>
        <w:spacing w:after="160"/>
        <w:rPr>
          <w:rFonts w:cs="Times New Roman"/>
          <w:color w:val="000000"/>
          <w:sz w:val="24"/>
          <w:szCs w:val="24"/>
        </w:rPr>
      </w:pPr>
      <w:r>
        <w:rPr>
          <w:rFonts w:cs="Times New Roman"/>
          <w:color w:val="000000"/>
          <w:sz w:val="24"/>
          <w:szCs w:val="24"/>
        </w:rPr>
        <w:t>Participant Medicaid #</w:t>
      </w:r>
      <w:r w:rsidR="002E57CA">
        <w:rPr>
          <w:rFonts w:cs="Times New Roman"/>
          <w:color w:val="000000"/>
          <w:sz w:val="24"/>
          <w:szCs w:val="24"/>
        </w:rPr>
        <w:t xml:space="preserve"> (9a)</w:t>
      </w:r>
      <w:r>
        <w:rPr>
          <w:rFonts w:cs="Times New Roman"/>
          <w:color w:val="000000"/>
          <w:sz w:val="24"/>
          <w:szCs w:val="24"/>
        </w:rPr>
        <w:t>- always 11 digits; if 0 is the first digit, it must be listed</w:t>
      </w:r>
    </w:p>
    <w:p w14:paraId="1504CF78" w14:textId="2F6C5843" w:rsidR="00466FC9" w:rsidRDefault="00466FC9" w:rsidP="00466FC9">
      <w:pPr>
        <w:pStyle w:val="ListParagraph"/>
        <w:numPr>
          <w:ilvl w:val="0"/>
          <w:numId w:val="22"/>
        </w:numPr>
        <w:spacing w:after="160"/>
        <w:rPr>
          <w:rFonts w:cs="Times New Roman"/>
          <w:color w:val="000000"/>
          <w:sz w:val="24"/>
          <w:szCs w:val="24"/>
        </w:rPr>
      </w:pPr>
      <w:r>
        <w:rPr>
          <w:rFonts w:cs="Times New Roman"/>
          <w:color w:val="000000"/>
          <w:sz w:val="24"/>
          <w:szCs w:val="24"/>
        </w:rPr>
        <w:lastRenderedPageBreak/>
        <w:t xml:space="preserve">Provider </w:t>
      </w:r>
      <w:r w:rsidR="002E57CA">
        <w:rPr>
          <w:rFonts w:cs="Times New Roman"/>
          <w:color w:val="000000"/>
          <w:sz w:val="24"/>
          <w:szCs w:val="24"/>
        </w:rPr>
        <w:t># (24J top; 33b)</w:t>
      </w:r>
      <w:r>
        <w:rPr>
          <w:rFonts w:cs="Times New Roman"/>
          <w:color w:val="000000"/>
          <w:sz w:val="24"/>
          <w:szCs w:val="24"/>
        </w:rPr>
        <w:t>- always 9 digits</w:t>
      </w:r>
    </w:p>
    <w:p w14:paraId="54ABD3CB" w14:textId="2C6FB42C" w:rsidR="002E57CA" w:rsidRDefault="002E57CA" w:rsidP="00466FC9">
      <w:pPr>
        <w:pStyle w:val="ListParagraph"/>
        <w:numPr>
          <w:ilvl w:val="0"/>
          <w:numId w:val="22"/>
        </w:numPr>
        <w:spacing w:after="160"/>
        <w:rPr>
          <w:rFonts w:cs="Times New Roman"/>
          <w:color w:val="000000"/>
          <w:sz w:val="24"/>
          <w:szCs w:val="24"/>
        </w:rPr>
      </w:pPr>
      <w:r>
        <w:rPr>
          <w:rFonts w:cs="Times New Roman"/>
          <w:color w:val="000000"/>
          <w:sz w:val="24"/>
          <w:szCs w:val="24"/>
        </w:rPr>
        <w:t>NPI# (24J bottom; 33a)- 9 digit provider number with a 5 in front ex. 5xxxxxxxxx</w:t>
      </w:r>
    </w:p>
    <w:p w14:paraId="437676B3" w14:textId="22D9562D" w:rsidR="00466FC9" w:rsidRDefault="00466FC9" w:rsidP="00466FC9">
      <w:pPr>
        <w:pStyle w:val="ListParagraph"/>
        <w:numPr>
          <w:ilvl w:val="0"/>
          <w:numId w:val="22"/>
        </w:numPr>
        <w:spacing w:after="160"/>
        <w:rPr>
          <w:rFonts w:cs="Times New Roman"/>
          <w:color w:val="000000"/>
          <w:sz w:val="24"/>
          <w:szCs w:val="24"/>
        </w:rPr>
      </w:pPr>
      <w:r>
        <w:rPr>
          <w:rFonts w:cs="Times New Roman"/>
          <w:color w:val="000000"/>
          <w:sz w:val="24"/>
          <w:szCs w:val="24"/>
        </w:rPr>
        <w:t>Date</w:t>
      </w:r>
      <w:r w:rsidR="00646B6C">
        <w:rPr>
          <w:rFonts w:cs="Times New Roman"/>
          <w:color w:val="000000"/>
          <w:sz w:val="24"/>
          <w:szCs w:val="24"/>
        </w:rPr>
        <w:t xml:space="preserve"> (24A) </w:t>
      </w:r>
      <w:r w:rsidR="00A077B2">
        <w:rPr>
          <w:rFonts w:cs="Times New Roman"/>
          <w:color w:val="000000"/>
          <w:sz w:val="24"/>
          <w:szCs w:val="24"/>
        </w:rPr>
        <w:t xml:space="preserve">- List </w:t>
      </w:r>
      <w:r w:rsidR="002E57CA">
        <w:rPr>
          <w:rFonts w:cs="Times New Roman"/>
          <w:color w:val="000000"/>
          <w:sz w:val="24"/>
          <w:szCs w:val="24"/>
        </w:rPr>
        <w:t xml:space="preserve">each </w:t>
      </w:r>
      <w:r w:rsidR="00A077B2">
        <w:rPr>
          <w:rFonts w:cs="Times New Roman"/>
          <w:color w:val="000000"/>
          <w:sz w:val="24"/>
          <w:szCs w:val="24"/>
        </w:rPr>
        <w:t xml:space="preserve">date of service in the 24A From column only. No date ranges should be used. A date of service for the same service can only be billed one time. All units or costs of a service provided on the same day must be added together and billed on the date of service </w:t>
      </w:r>
      <w:r w:rsidR="002E57CA">
        <w:rPr>
          <w:rFonts w:cs="Times New Roman"/>
          <w:color w:val="000000"/>
          <w:sz w:val="24"/>
          <w:szCs w:val="24"/>
        </w:rPr>
        <w:t xml:space="preserve">once. MMIS considers dates of service for the same service billed more than once as a duplicate claim even if the units or costs are different. </w:t>
      </w:r>
      <w:r w:rsidR="0056213C">
        <w:rPr>
          <w:rFonts w:cs="Times New Roman"/>
          <w:color w:val="000000"/>
          <w:sz w:val="24"/>
          <w:szCs w:val="24"/>
        </w:rPr>
        <w:t xml:space="preserve"> If changes need to be made to previously submitted c</w:t>
      </w:r>
      <w:r w:rsidR="008D0A03">
        <w:rPr>
          <w:rFonts w:cs="Times New Roman"/>
          <w:color w:val="000000"/>
          <w:sz w:val="24"/>
          <w:szCs w:val="24"/>
        </w:rPr>
        <w:t>laims total units or costs</w:t>
      </w:r>
      <w:r w:rsidR="0056213C">
        <w:rPr>
          <w:rFonts w:cs="Times New Roman"/>
          <w:color w:val="000000"/>
          <w:sz w:val="24"/>
          <w:szCs w:val="24"/>
        </w:rPr>
        <w:t>, an adjustment</w:t>
      </w:r>
      <w:r w:rsidR="008D0A03">
        <w:rPr>
          <w:rFonts w:cs="Times New Roman"/>
          <w:color w:val="000000"/>
          <w:sz w:val="24"/>
          <w:szCs w:val="24"/>
        </w:rPr>
        <w:t xml:space="preserve"> of that claim</w:t>
      </w:r>
      <w:r w:rsidR="0056213C">
        <w:rPr>
          <w:rFonts w:cs="Times New Roman"/>
          <w:color w:val="000000"/>
          <w:sz w:val="24"/>
          <w:szCs w:val="24"/>
        </w:rPr>
        <w:t xml:space="preserve"> must be requested. </w:t>
      </w:r>
    </w:p>
    <w:p w14:paraId="70068EA9" w14:textId="74E361F9" w:rsidR="00466FC9" w:rsidRDefault="00466FC9" w:rsidP="00466FC9">
      <w:pPr>
        <w:pStyle w:val="ListParagraph"/>
        <w:numPr>
          <w:ilvl w:val="0"/>
          <w:numId w:val="22"/>
        </w:numPr>
        <w:spacing w:after="160"/>
        <w:rPr>
          <w:rFonts w:cs="Times New Roman"/>
          <w:color w:val="000000"/>
          <w:sz w:val="24"/>
          <w:szCs w:val="24"/>
        </w:rPr>
      </w:pPr>
      <w:r>
        <w:rPr>
          <w:rFonts w:cs="Times New Roman"/>
          <w:color w:val="000000"/>
          <w:sz w:val="24"/>
          <w:szCs w:val="24"/>
        </w:rPr>
        <w:t>Units</w:t>
      </w:r>
      <w:r w:rsidR="00646B6C">
        <w:rPr>
          <w:rFonts w:cs="Times New Roman"/>
          <w:color w:val="000000"/>
          <w:sz w:val="24"/>
          <w:szCs w:val="24"/>
        </w:rPr>
        <w:t xml:space="preserve"> (24G) </w:t>
      </w:r>
      <w:r>
        <w:rPr>
          <w:rFonts w:cs="Times New Roman"/>
          <w:color w:val="000000"/>
          <w:sz w:val="24"/>
          <w:szCs w:val="24"/>
        </w:rPr>
        <w:t>- For hourly and quarter hour services, the number of units</w:t>
      </w:r>
      <w:r w:rsidR="008D0A03">
        <w:rPr>
          <w:rFonts w:cs="Times New Roman"/>
          <w:color w:val="000000"/>
          <w:sz w:val="24"/>
          <w:szCs w:val="24"/>
        </w:rPr>
        <w:t xml:space="preserve"> of service provided</w:t>
      </w:r>
      <w:r>
        <w:rPr>
          <w:rFonts w:cs="Times New Roman"/>
          <w:color w:val="000000"/>
          <w:sz w:val="24"/>
          <w:szCs w:val="24"/>
        </w:rPr>
        <w:t xml:space="preserve"> (hours</w:t>
      </w:r>
      <w:r w:rsidR="00A077B2">
        <w:rPr>
          <w:rFonts w:cs="Times New Roman"/>
          <w:color w:val="000000"/>
          <w:sz w:val="24"/>
          <w:szCs w:val="24"/>
        </w:rPr>
        <w:t xml:space="preserve">; </w:t>
      </w:r>
      <w:r>
        <w:rPr>
          <w:rFonts w:cs="Times New Roman"/>
          <w:color w:val="000000"/>
          <w:sz w:val="24"/>
          <w:szCs w:val="24"/>
        </w:rPr>
        <w:t>15 mins) must be listed</w:t>
      </w:r>
      <w:r w:rsidR="008D0A03">
        <w:rPr>
          <w:rFonts w:cs="Times New Roman"/>
          <w:color w:val="000000"/>
          <w:sz w:val="24"/>
          <w:szCs w:val="24"/>
        </w:rPr>
        <w:t xml:space="preserve">. For example, for an hourly service, if 8 hours of service is provided, 8 units would be listed. For quarter hour services, if 4 hours of service was provided, 16 units must be listed. A unit of </w:t>
      </w:r>
      <w:r>
        <w:rPr>
          <w:rFonts w:cs="Times New Roman"/>
          <w:color w:val="000000"/>
          <w:sz w:val="24"/>
          <w:szCs w:val="24"/>
        </w:rPr>
        <w:t xml:space="preserve">1 </w:t>
      </w:r>
      <w:r w:rsidR="00646B6C">
        <w:rPr>
          <w:rFonts w:cs="Times New Roman"/>
          <w:color w:val="000000"/>
          <w:sz w:val="24"/>
          <w:szCs w:val="24"/>
        </w:rPr>
        <w:t>is used for days, milestone services, or service costs added toge</w:t>
      </w:r>
      <w:r w:rsidR="0056213C">
        <w:rPr>
          <w:rFonts w:cs="Times New Roman"/>
          <w:color w:val="000000"/>
          <w:sz w:val="24"/>
          <w:szCs w:val="24"/>
        </w:rPr>
        <w:t>ther and billed on the same day, Upper Pay Limit services.</w:t>
      </w:r>
    </w:p>
    <w:p w14:paraId="140E7533" w14:textId="7E7A8A06" w:rsidR="002E57CA" w:rsidRDefault="002E57CA" w:rsidP="00466FC9">
      <w:pPr>
        <w:pStyle w:val="ListParagraph"/>
        <w:numPr>
          <w:ilvl w:val="0"/>
          <w:numId w:val="22"/>
        </w:numPr>
        <w:spacing w:after="160"/>
        <w:rPr>
          <w:rFonts w:cs="Times New Roman"/>
          <w:color w:val="000000"/>
          <w:sz w:val="24"/>
          <w:szCs w:val="24"/>
        </w:rPr>
      </w:pPr>
      <w:r>
        <w:rPr>
          <w:rFonts w:cs="Times New Roman"/>
          <w:color w:val="000000"/>
          <w:sz w:val="24"/>
          <w:szCs w:val="24"/>
        </w:rPr>
        <w:t>Charges</w:t>
      </w:r>
      <w:r w:rsidR="00646B6C">
        <w:rPr>
          <w:rFonts w:cs="Times New Roman"/>
          <w:color w:val="000000"/>
          <w:sz w:val="24"/>
          <w:szCs w:val="24"/>
        </w:rPr>
        <w:t xml:space="preserve"> (24F)</w:t>
      </w:r>
      <w:r>
        <w:rPr>
          <w:rFonts w:cs="Times New Roman"/>
          <w:color w:val="000000"/>
          <w:sz w:val="24"/>
          <w:szCs w:val="24"/>
        </w:rPr>
        <w:t xml:space="preserve">- </w:t>
      </w:r>
      <w:r w:rsidR="00646B6C">
        <w:rPr>
          <w:rFonts w:cs="Times New Roman"/>
          <w:color w:val="000000"/>
          <w:sz w:val="24"/>
          <w:szCs w:val="24"/>
        </w:rPr>
        <w:t xml:space="preserve">Unit cost x # Units </w:t>
      </w:r>
    </w:p>
    <w:p w14:paraId="3E0DFF2B" w14:textId="39F0AEB2" w:rsidR="00646B6C" w:rsidRDefault="00646B6C" w:rsidP="00466FC9">
      <w:pPr>
        <w:pStyle w:val="ListParagraph"/>
        <w:numPr>
          <w:ilvl w:val="0"/>
          <w:numId w:val="22"/>
        </w:numPr>
        <w:spacing w:after="160"/>
        <w:rPr>
          <w:rFonts w:cs="Times New Roman"/>
          <w:color w:val="000000"/>
          <w:sz w:val="24"/>
          <w:szCs w:val="24"/>
        </w:rPr>
      </w:pPr>
      <w:r>
        <w:rPr>
          <w:rFonts w:cs="Times New Roman"/>
          <w:color w:val="000000"/>
          <w:sz w:val="24"/>
          <w:szCs w:val="24"/>
        </w:rPr>
        <w:t xml:space="preserve">Total (28)- </w:t>
      </w:r>
      <w:r w:rsidR="005837A2">
        <w:rPr>
          <w:rFonts w:cs="Times New Roman"/>
          <w:color w:val="000000"/>
          <w:sz w:val="24"/>
          <w:szCs w:val="24"/>
        </w:rPr>
        <w:t>Total of charges</w:t>
      </w:r>
    </w:p>
    <w:p w14:paraId="75FE5ADC" w14:textId="7E58AA97" w:rsidR="005837A2" w:rsidRPr="00466FC9" w:rsidRDefault="005837A2" w:rsidP="00466FC9">
      <w:pPr>
        <w:pStyle w:val="ListParagraph"/>
        <w:numPr>
          <w:ilvl w:val="0"/>
          <w:numId w:val="22"/>
        </w:numPr>
        <w:spacing w:after="160"/>
        <w:rPr>
          <w:rFonts w:cs="Times New Roman"/>
          <w:color w:val="000000"/>
          <w:sz w:val="24"/>
          <w:szCs w:val="24"/>
        </w:rPr>
      </w:pPr>
      <w:r>
        <w:rPr>
          <w:rFonts w:cs="Times New Roman"/>
          <w:color w:val="000000"/>
          <w:sz w:val="24"/>
          <w:szCs w:val="24"/>
        </w:rPr>
        <w:t>Signature/Date (31)- Sign, print, or type name; signature date must be after dates of service being billed</w:t>
      </w:r>
    </w:p>
    <w:sectPr w:rsidR="005837A2" w:rsidRPr="00466FC9" w:rsidSect="006D5CA4">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F7365" w14:textId="77777777" w:rsidR="00C70700" w:rsidRDefault="00C70700" w:rsidP="006B582C">
      <w:r>
        <w:separator/>
      </w:r>
    </w:p>
  </w:endnote>
  <w:endnote w:type="continuationSeparator" w:id="0">
    <w:p w14:paraId="128FB2F3" w14:textId="77777777" w:rsidR="00C70700" w:rsidRDefault="00C70700" w:rsidP="006B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BEEC9" w14:textId="77777777" w:rsidR="00C70700" w:rsidRDefault="00C70700" w:rsidP="00325C1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50274" w14:textId="77777777" w:rsidR="00C70700" w:rsidRDefault="00C70700" w:rsidP="009374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80E0A" w14:textId="72BC078C" w:rsidR="00C70700" w:rsidRPr="00F15D16" w:rsidRDefault="00C70700" w:rsidP="00325C1B">
    <w:pPr>
      <w:pStyle w:val="Footer"/>
      <w:framePr w:wrap="none" w:vAnchor="text" w:hAnchor="margin" w:xAlign="right" w:y="1"/>
      <w:rPr>
        <w:rStyle w:val="PageNumber"/>
        <w:rFonts w:cs="Times New Roman"/>
      </w:rPr>
    </w:pPr>
    <w:r w:rsidRPr="00F15D16">
      <w:rPr>
        <w:rStyle w:val="PageNumber"/>
        <w:rFonts w:cs="Times New Roman"/>
      </w:rPr>
      <w:fldChar w:fldCharType="begin"/>
    </w:r>
    <w:r w:rsidRPr="00F15D16">
      <w:rPr>
        <w:rStyle w:val="PageNumber"/>
        <w:rFonts w:cs="Times New Roman"/>
      </w:rPr>
      <w:instrText xml:space="preserve">PAGE  </w:instrText>
    </w:r>
    <w:r w:rsidRPr="00F15D16">
      <w:rPr>
        <w:rStyle w:val="PageNumber"/>
        <w:rFonts w:cs="Times New Roman"/>
      </w:rPr>
      <w:fldChar w:fldCharType="separate"/>
    </w:r>
    <w:r w:rsidRPr="00F15D16">
      <w:rPr>
        <w:rStyle w:val="PageNumber"/>
        <w:rFonts w:cs="Times New Roman"/>
        <w:noProof/>
      </w:rPr>
      <w:t>2</w:t>
    </w:r>
    <w:r w:rsidRPr="00F15D16">
      <w:rPr>
        <w:rStyle w:val="PageNumber"/>
        <w:rFonts w:cs="Times New Roman"/>
      </w:rPr>
      <w:fldChar w:fldCharType="end"/>
    </w:r>
  </w:p>
  <w:p w14:paraId="5D904871" w14:textId="77777777" w:rsidR="00C70700" w:rsidRPr="00F15D16" w:rsidRDefault="00C70700" w:rsidP="009374CE">
    <w:pPr>
      <w:pStyle w:val="Footer"/>
      <w:ind w:right="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96225"/>
      <w:docPartObj>
        <w:docPartGallery w:val="Page Numbers (Bottom of Page)"/>
        <w:docPartUnique/>
      </w:docPartObj>
    </w:sdtPr>
    <w:sdtEndPr>
      <w:rPr>
        <w:noProof/>
      </w:rPr>
    </w:sdtEndPr>
    <w:sdtContent>
      <w:p w14:paraId="33348848" w14:textId="6A00E30A" w:rsidR="00C70700" w:rsidRDefault="00C70700">
        <w:pPr>
          <w:pStyle w:val="Footer"/>
          <w:jc w:val="right"/>
        </w:pPr>
        <w:r>
          <w:fldChar w:fldCharType="begin"/>
        </w:r>
        <w:r>
          <w:instrText xml:space="preserve"> PAGE   \* MERGEFORMAT </w:instrText>
        </w:r>
        <w:r>
          <w:fldChar w:fldCharType="separate"/>
        </w:r>
        <w:r w:rsidR="002B368B">
          <w:rPr>
            <w:noProof/>
          </w:rPr>
          <w:t>9</w:t>
        </w:r>
        <w:r>
          <w:rPr>
            <w:noProof/>
          </w:rPr>
          <w:fldChar w:fldCharType="end"/>
        </w:r>
      </w:p>
    </w:sdtContent>
  </w:sdt>
  <w:p w14:paraId="70DD08C4" w14:textId="0A860999" w:rsidR="00C70700" w:rsidRPr="00E20A60" w:rsidRDefault="00C70700" w:rsidP="00325C1B">
    <w:pPr>
      <w:jc w:val="center"/>
      <w:rPr>
        <w:rFonts w:cs="Times New Roman"/>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D2C9" w14:textId="77777777" w:rsidR="00C70700" w:rsidRPr="005A5EFA" w:rsidRDefault="00C70700" w:rsidP="00325C1B">
    <w:pPr>
      <w:jc w:val="center"/>
    </w:pPr>
    <w:r>
      <w:rPr>
        <w:sz w:val="18"/>
        <w:szCs w:val="18"/>
      </w:rPr>
      <w:t>Toll Free 1-877-4MD-DHMH • TTY</w:t>
    </w:r>
    <w:r>
      <w:rPr>
        <w:b/>
        <w:bCs/>
        <w:sz w:val="18"/>
        <w:szCs w:val="18"/>
      </w:rPr>
      <w:t xml:space="preserve"> </w:t>
    </w:r>
    <w:r>
      <w:rPr>
        <w:sz w:val="18"/>
        <w:szCs w:val="18"/>
      </w:rPr>
      <w:t>for Disabled - Maryland Relay Service 1-800-735-2258</w:t>
    </w:r>
  </w:p>
  <w:p w14:paraId="1EE63A8B" w14:textId="77777777" w:rsidR="00C70700" w:rsidRDefault="00C70700" w:rsidP="00325C1B">
    <w:pPr>
      <w:jc w:val="center"/>
    </w:pPr>
    <w:r>
      <w:rPr>
        <w:i/>
        <w:iCs/>
      </w:rPr>
      <w:t xml:space="preserve">Web Site: </w:t>
    </w:r>
    <w:hyperlink r:id="rId1" w:history="1">
      <w:r w:rsidRPr="009B1977">
        <w:rPr>
          <w:rStyle w:val="Hyperlink"/>
        </w:rPr>
        <w:t>http://dda.dhmh.maryland.gov</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1FECC" w14:textId="77777777" w:rsidR="00C70700" w:rsidRDefault="00C70700" w:rsidP="006B582C">
      <w:r>
        <w:separator/>
      </w:r>
    </w:p>
  </w:footnote>
  <w:footnote w:type="continuationSeparator" w:id="0">
    <w:p w14:paraId="139F9982" w14:textId="77777777" w:rsidR="00C70700" w:rsidRDefault="00C70700" w:rsidP="006B5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0EB3" w14:textId="77777777" w:rsidR="00C70700" w:rsidRDefault="00C70700" w:rsidP="006B582C">
    <w:pPr>
      <w:pStyle w:val="Header"/>
      <w:tabs>
        <w:tab w:val="clear" w:pos="4680"/>
        <w:tab w:val="clear" w:pos="9360"/>
        <w:tab w:val="left" w:pos="109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713E3" w14:textId="107C73D5" w:rsidR="00C70700" w:rsidRPr="006B582C" w:rsidRDefault="00C70700" w:rsidP="006B582C">
    <w:pPr>
      <w:pStyle w:val="Header"/>
    </w:pPr>
    <w:r>
      <w:rPr>
        <w:noProof/>
      </w:rPr>
      <w:drawing>
        <wp:anchor distT="0" distB="0" distL="114300" distR="114300" simplePos="0" relativeHeight="251658240" behindDoc="1" locked="0" layoutInCell="1" allowOverlap="1" wp14:anchorId="69E6549A" wp14:editId="4D4BBA44">
          <wp:simplePos x="0" y="0"/>
          <wp:positionH relativeFrom="page">
            <wp:posOffset>717550</wp:posOffset>
          </wp:positionH>
          <wp:positionV relativeFrom="page">
            <wp:posOffset>381000</wp:posOffset>
          </wp:positionV>
          <wp:extent cx="5708650" cy="956051"/>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letterhead_v2.png"/>
                  <pic:cNvPicPr/>
                </pic:nvPicPr>
                <pic:blipFill>
                  <a:blip r:embed="rId1">
                    <a:extLst>
                      <a:ext uri="{28A0092B-C50C-407E-A947-70E740481C1C}">
                        <a14:useLocalDpi xmlns:a14="http://schemas.microsoft.com/office/drawing/2010/main" val="0"/>
                      </a:ext>
                    </a:extLst>
                  </a:blip>
                  <a:stretch>
                    <a:fillRect/>
                  </a:stretch>
                </pic:blipFill>
                <pic:spPr>
                  <a:xfrm>
                    <a:off x="0" y="0"/>
                    <a:ext cx="5708650" cy="95605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AA1F5" w14:textId="77777777" w:rsidR="00C70700" w:rsidRDefault="00C707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D2773" w14:textId="77777777" w:rsidR="00C70700" w:rsidRDefault="00C70700" w:rsidP="00325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F5E"/>
    <w:multiLevelType w:val="multilevel"/>
    <w:tmpl w:val="75F8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80669"/>
    <w:multiLevelType w:val="multilevel"/>
    <w:tmpl w:val="47E2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06134"/>
    <w:multiLevelType w:val="hybridMultilevel"/>
    <w:tmpl w:val="D49CDD3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64286"/>
    <w:multiLevelType w:val="multilevel"/>
    <w:tmpl w:val="9CF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A0223"/>
    <w:multiLevelType w:val="hybridMultilevel"/>
    <w:tmpl w:val="388004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90C39"/>
    <w:multiLevelType w:val="hybridMultilevel"/>
    <w:tmpl w:val="211C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548B0"/>
    <w:multiLevelType w:val="multilevel"/>
    <w:tmpl w:val="AB6A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6827A4"/>
    <w:multiLevelType w:val="multilevel"/>
    <w:tmpl w:val="EADEE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D4424C"/>
    <w:multiLevelType w:val="hybridMultilevel"/>
    <w:tmpl w:val="076E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01851"/>
    <w:multiLevelType w:val="multilevel"/>
    <w:tmpl w:val="01A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A5074"/>
    <w:multiLevelType w:val="multilevel"/>
    <w:tmpl w:val="4E08D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B112F"/>
    <w:multiLevelType w:val="hybridMultilevel"/>
    <w:tmpl w:val="C114C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414AE"/>
    <w:multiLevelType w:val="multilevel"/>
    <w:tmpl w:val="1400A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B62AA9"/>
    <w:multiLevelType w:val="multilevel"/>
    <w:tmpl w:val="C3B0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D6CBD"/>
    <w:multiLevelType w:val="multilevel"/>
    <w:tmpl w:val="C7AA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7F298C"/>
    <w:multiLevelType w:val="hybridMultilevel"/>
    <w:tmpl w:val="47724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642F1"/>
    <w:multiLevelType w:val="multilevel"/>
    <w:tmpl w:val="C110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BF2977"/>
    <w:multiLevelType w:val="multilevel"/>
    <w:tmpl w:val="C7AA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F40FEB"/>
    <w:multiLevelType w:val="hybridMultilevel"/>
    <w:tmpl w:val="5BFA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A198F"/>
    <w:multiLevelType w:val="hybridMultilevel"/>
    <w:tmpl w:val="7A08ED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5D68CF"/>
    <w:multiLevelType w:val="multilevel"/>
    <w:tmpl w:val="1020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B37F80"/>
    <w:multiLevelType w:val="hybridMultilevel"/>
    <w:tmpl w:val="D3C26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65112"/>
    <w:multiLevelType w:val="hybridMultilevel"/>
    <w:tmpl w:val="A9D4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D48E9"/>
    <w:multiLevelType w:val="hybridMultilevel"/>
    <w:tmpl w:val="AFE8F21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3F6F4DEB"/>
    <w:multiLevelType w:val="hybridMultilevel"/>
    <w:tmpl w:val="A0D2014C"/>
    <w:lvl w:ilvl="0" w:tplc="0C8236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61BFF"/>
    <w:multiLevelType w:val="multilevel"/>
    <w:tmpl w:val="76E4A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0F0C30"/>
    <w:multiLevelType w:val="hybridMultilevel"/>
    <w:tmpl w:val="B6EA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17C83"/>
    <w:multiLevelType w:val="hybridMultilevel"/>
    <w:tmpl w:val="348E7A10"/>
    <w:lvl w:ilvl="0" w:tplc="EA846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0D3B6F"/>
    <w:multiLevelType w:val="hybridMultilevel"/>
    <w:tmpl w:val="92567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6A25FD"/>
    <w:multiLevelType w:val="multilevel"/>
    <w:tmpl w:val="107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306282"/>
    <w:multiLevelType w:val="hybridMultilevel"/>
    <w:tmpl w:val="6038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72335"/>
    <w:multiLevelType w:val="multilevel"/>
    <w:tmpl w:val="CF6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1F7018"/>
    <w:multiLevelType w:val="multilevel"/>
    <w:tmpl w:val="2FFA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FF0F24"/>
    <w:multiLevelType w:val="multilevel"/>
    <w:tmpl w:val="F640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16E1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734A2BC6"/>
    <w:multiLevelType w:val="hybridMultilevel"/>
    <w:tmpl w:val="6F906F62"/>
    <w:lvl w:ilvl="0" w:tplc="8AFEDAF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AE0BEA"/>
    <w:multiLevelType w:val="hybridMultilevel"/>
    <w:tmpl w:val="C3BC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lvl w:ilvl="0">
        <w:numFmt w:val="lowerLetter"/>
        <w:lvlText w:val="%1."/>
        <w:lvlJc w:val="left"/>
      </w:lvl>
    </w:lvlOverride>
  </w:num>
  <w:num w:numId="2">
    <w:abstractNumId w:val="32"/>
  </w:num>
  <w:num w:numId="3">
    <w:abstractNumId w:val="12"/>
    <w:lvlOverride w:ilvl="0">
      <w:lvl w:ilvl="0">
        <w:numFmt w:val="decimal"/>
        <w:lvlText w:val="%1."/>
        <w:lvlJc w:val="left"/>
      </w:lvl>
    </w:lvlOverride>
  </w:num>
  <w:num w:numId="4">
    <w:abstractNumId w:val="1"/>
    <w:lvlOverride w:ilvl="0">
      <w:lvl w:ilvl="0">
        <w:numFmt w:val="lowerRoman"/>
        <w:lvlText w:val="%1."/>
        <w:lvlJc w:val="right"/>
      </w:lvl>
    </w:lvlOverride>
  </w:num>
  <w:num w:numId="5">
    <w:abstractNumId w:val="20"/>
  </w:num>
  <w:num w:numId="6">
    <w:abstractNumId w:val="10"/>
    <w:lvlOverride w:ilvl="0">
      <w:lvl w:ilvl="0">
        <w:numFmt w:val="decimal"/>
        <w:lvlText w:val="%1."/>
        <w:lvlJc w:val="left"/>
      </w:lvl>
    </w:lvlOverride>
  </w:num>
  <w:num w:numId="7">
    <w:abstractNumId w:val="25"/>
    <w:lvlOverride w:ilvl="0">
      <w:lvl w:ilvl="0">
        <w:numFmt w:val="decimal"/>
        <w:lvlText w:val="%1."/>
        <w:lvlJc w:val="left"/>
      </w:lvl>
    </w:lvlOverride>
  </w:num>
  <w:num w:numId="8">
    <w:abstractNumId w:val="7"/>
    <w:lvlOverride w:ilvl="0">
      <w:lvl w:ilvl="0">
        <w:numFmt w:val="decimal"/>
        <w:lvlText w:val="%1."/>
        <w:lvlJc w:val="left"/>
      </w:lvl>
    </w:lvlOverride>
  </w:num>
  <w:num w:numId="9">
    <w:abstractNumId w:val="13"/>
  </w:num>
  <w:num w:numId="10">
    <w:abstractNumId w:val="33"/>
  </w:num>
  <w:num w:numId="11">
    <w:abstractNumId w:val="29"/>
  </w:num>
  <w:num w:numId="12">
    <w:abstractNumId w:val="31"/>
  </w:num>
  <w:num w:numId="13">
    <w:abstractNumId w:val="9"/>
  </w:num>
  <w:num w:numId="14">
    <w:abstractNumId w:val="3"/>
  </w:num>
  <w:num w:numId="15">
    <w:abstractNumId w:val="36"/>
  </w:num>
  <w:num w:numId="16">
    <w:abstractNumId w:val="23"/>
  </w:num>
  <w:num w:numId="17">
    <w:abstractNumId w:val="5"/>
  </w:num>
  <w:num w:numId="18">
    <w:abstractNumId w:val="15"/>
  </w:num>
  <w:num w:numId="19">
    <w:abstractNumId w:val="26"/>
  </w:num>
  <w:num w:numId="20">
    <w:abstractNumId w:val="22"/>
  </w:num>
  <w:num w:numId="21">
    <w:abstractNumId w:val="0"/>
  </w:num>
  <w:num w:numId="22">
    <w:abstractNumId w:val="28"/>
  </w:num>
  <w:num w:numId="23">
    <w:abstractNumId w:val="18"/>
  </w:num>
  <w:num w:numId="24">
    <w:abstractNumId w:val="6"/>
    <w:lvlOverride w:ilvl="0">
      <w:lvl w:ilvl="0">
        <w:numFmt w:val="lowerLetter"/>
        <w:lvlText w:val="%1."/>
        <w:lvlJc w:val="left"/>
      </w:lvl>
    </w:lvlOverride>
  </w:num>
  <w:num w:numId="25">
    <w:abstractNumId w:val="17"/>
  </w:num>
  <w:num w:numId="26">
    <w:abstractNumId w:val="14"/>
  </w:num>
  <w:num w:numId="27">
    <w:abstractNumId w:val="34"/>
  </w:num>
  <w:num w:numId="28">
    <w:abstractNumId w:val="2"/>
  </w:num>
  <w:num w:numId="29">
    <w:abstractNumId w:val="21"/>
  </w:num>
  <w:num w:numId="30">
    <w:abstractNumId w:val="27"/>
  </w:num>
  <w:num w:numId="31">
    <w:abstractNumId w:val="35"/>
  </w:num>
  <w:num w:numId="32">
    <w:abstractNumId w:val="19"/>
  </w:num>
  <w:num w:numId="33">
    <w:abstractNumId w:val="4"/>
  </w:num>
  <w:num w:numId="34">
    <w:abstractNumId w:val="11"/>
  </w:num>
  <w:num w:numId="35">
    <w:abstractNumId w:val="24"/>
  </w:num>
  <w:num w:numId="36">
    <w:abstractNumId w:val="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2C"/>
    <w:rsid w:val="0003231D"/>
    <w:rsid w:val="000349B9"/>
    <w:rsid w:val="00035BF1"/>
    <w:rsid w:val="0004535C"/>
    <w:rsid w:val="00071779"/>
    <w:rsid w:val="00076104"/>
    <w:rsid w:val="000777B1"/>
    <w:rsid w:val="000864BF"/>
    <w:rsid w:val="00090F95"/>
    <w:rsid w:val="000A1CF5"/>
    <w:rsid w:val="000C1EC6"/>
    <w:rsid w:val="000C42DE"/>
    <w:rsid w:val="000C7883"/>
    <w:rsid w:val="000D0EE8"/>
    <w:rsid w:val="000D4C1D"/>
    <w:rsid w:val="000D6124"/>
    <w:rsid w:val="000F5442"/>
    <w:rsid w:val="0010369E"/>
    <w:rsid w:val="00117CDC"/>
    <w:rsid w:val="00136F6F"/>
    <w:rsid w:val="0013733A"/>
    <w:rsid w:val="00167BCF"/>
    <w:rsid w:val="0017305B"/>
    <w:rsid w:val="00192B2C"/>
    <w:rsid w:val="001953EA"/>
    <w:rsid w:val="001B3299"/>
    <w:rsid w:val="001B7B44"/>
    <w:rsid w:val="001C298B"/>
    <w:rsid w:val="001C5F60"/>
    <w:rsid w:val="001D3B4B"/>
    <w:rsid w:val="001F71E9"/>
    <w:rsid w:val="001F7A5B"/>
    <w:rsid w:val="00201776"/>
    <w:rsid w:val="00221CA3"/>
    <w:rsid w:val="00230DCF"/>
    <w:rsid w:val="00252224"/>
    <w:rsid w:val="0025757F"/>
    <w:rsid w:val="00281D0E"/>
    <w:rsid w:val="00281D5A"/>
    <w:rsid w:val="00286F6E"/>
    <w:rsid w:val="00287FAD"/>
    <w:rsid w:val="00294BB1"/>
    <w:rsid w:val="0029579E"/>
    <w:rsid w:val="002A5CC3"/>
    <w:rsid w:val="002B368B"/>
    <w:rsid w:val="002E57CA"/>
    <w:rsid w:val="002F1329"/>
    <w:rsid w:val="002F7954"/>
    <w:rsid w:val="003251EE"/>
    <w:rsid w:val="00325C1B"/>
    <w:rsid w:val="00346C59"/>
    <w:rsid w:val="003558AE"/>
    <w:rsid w:val="00365929"/>
    <w:rsid w:val="00390E52"/>
    <w:rsid w:val="003A6F99"/>
    <w:rsid w:val="003B456C"/>
    <w:rsid w:val="003C7799"/>
    <w:rsid w:val="003D5C81"/>
    <w:rsid w:val="003F3606"/>
    <w:rsid w:val="004019AA"/>
    <w:rsid w:val="00430F68"/>
    <w:rsid w:val="00436669"/>
    <w:rsid w:val="00466FC9"/>
    <w:rsid w:val="00467375"/>
    <w:rsid w:val="004705AE"/>
    <w:rsid w:val="00494D31"/>
    <w:rsid w:val="0049563C"/>
    <w:rsid w:val="004B73D0"/>
    <w:rsid w:val="004C4225"/>
    <w:rsid w:val="004C55C9"/>
    <w:rsid w:val="004D5576"/>
    <w:rsid w:val="00500430"/>
    <w:rsid w:val="00513F4B"/>
    <w:rsid w:val="00515DD0"/>
    <w:rsid w:val="0056213C"/>
    <w:rsid w:val="005673BD"/>
    <w:rsid w:val="005837A2"/>
    <w:rsid w:val="005A2339"/>
    <w:rsid w:val="005A6EEE"/>
    <w:rsid w:val="005B1246"/>
    <w:rsid w:val="005B2074"/>
    <w:rsid w:val="005B6448"/>
    <w:rsid w:val="00601A4C"/>
    <w:rsid w:val="00625D64"/>
    <w:rsid w:val="006328E5"/>
    <w:rsid w:val="006419BC"/>
    <w:rsid w:val="00642173"/>
    <w:rsid w:val="00646B6C"/>
    <w:rsid w:val="00647FDE"/>
    <w:rsid w:val="006673E9"/>
    <w:rsid w:val="006732D9"/>
    <w:rsid w:val="006774F8"/>
    <w:rsid w:val="006879CF"/>
    <w:rsid w:val="006A0DBC"/>
    <w:rsid w:val="006B2352"/>
    <w:rsid w:val="006B26EB"/>
    <w:rsid w:val="006B582C"/>
    <w:rsid w:val="006C4E69"/>
    <w:rsid w:val="006D01E9"/>
    <w:rsid w:val="006D5CA4"/>
    <w:rsid w:val="00712BC7"/>
    <w:rsid w:val="0074546B"/>
    <w:rsid w:val="00756286"/>
    <w:rsid w:val="0076283C"/>
    <w:rsid w:val="00767402"/>
    <w:rsid w:val="007830CF"/>
    <w:rsid w:val="00793901"/>
    <w:rsid w:val="00796C2E"/>
    <w:rsid w:val="007B647E"/>
    <w:rsid w:val="007D41AB"/>
    <w:rsid w:val="007E674B"/>
    <w:rsid w:val="008005EC"/>
    <w:rsid w:val="00835A58"/>
    <w:rsid w:val="0087486D"/>
    <w:rsid w:val="008921E6"/>
    <w:rsid w:val="00893FF2"/>
    <w:rsid w:val="00896983"/>
    <w:rsid w:val="008B2B98"/>
    <w:rsid w:val="008C1CED"/>
    <w:rsid w:val="008C76D5"/>
    <w:rsid w:val="008D0A03"/>
    <w:rsid w:val="008E4719"/>
    <w:rsid w:val="008F76AF"/>
    <w:rsid w:val="009374CE"/>
    <w:rsid w:val="00937D8F"/>
    <w:rsid w:val="009413CC"/>
    <w:rsid w:val="00946480"/>
    <w:rsid w:val="00964D8C"/>
    <w:rsid w:val="00987F6F"/>
    <w:rsid w:val="00992726"/>
    <w:rsid w:val="009A132C"/>
    <w:rsid w:val="009A232E"/>
    <w:rsid w:val="009A43DF"/>
    <w:rsid w:val="009D2D10"/>
    <w:rsid w:val="009E675F"/>
    <w:rsid w:val="009F6B70"/>
    <w:rsid w:val="00A077B2"/>
    <w:rsid w:val="00A10FA1"/>
    <w:rsid w:val="00A14207"/>
    <w:rsid w:val="00A42554"/>
    <w:rsid w:val="00A507E1"/>
    <w:rsid w:val="00A53530"/>
    <w:rsid w:val="00A907C1"/>
    <w:rsid w:val="00AA1940"/>
    <w:rsid w:val="00AA751D"/>
    <w:rsid w:val="00AC2FBE"/>
    <w:rsid w:val="00AC375C"/>
    <w:rsid w:val="00AC6A00"/>
    <w:rsid w:val="00AE6E40"/>
    <w:rsid w:val="00AF2714"/>
    <w:rsid w:val="00AF6237"/>
    <w:rsid w:val="00B0171B"/>
    <w:rsid w:val="00B05885"/>
    <w:rsid w:val="00B10FC2"/>
    <w:rsid w:val="00B14BDC"/>
    <w:rsid w:val="00B55AEC"/>
    <w:rsid w:val="00B6234B"/>
    <w:rsid w:val="00B64096"/>
    <w:rsid w:val="00B771B5"/>
    <w:rsid w:val="00B8523F"/>
    <w:rsid w:val="00B912E9"/>
    <w:rsid w:val="00B916FF"/>
    <w:rsid w:val="00BA40E1"/>
    <w:rsid w:val="00BA422F"/>
    <w:rsid w:val="00BB1845"/>
    <w:rsid w:val="00BB1CA0"/>
    <w:rsid w:val="00BB3B0A"/>
    <w:rsid w:val="00BC398B"/>
    <w:rsid w:val="00BE3878"/>
    <w:rsid w:val="00BE3B0F"/>
    <w:rsid w:val="00C02C29"/>
    <w:rsid w:val="00C11288"/>
    <w:rsid w:val="00C140A0"/>
    <w:rsid w:val="00C20ADB"/>
    <w:rsid w:val="00C2173C"/>
    <w:rsid w:val="00C24A48"/>
    <w:rsid w:val="00C412AD"/>
    <w:rsid w:val="00C42C16"/>
    <w:rsid w:val="00C56B21"/>
    <w:rsid w:val="00C70700"/>
    <w:rsid w:val="00C83296"/>
    <w:rsid w:val="00C93D13"/>
    <w:rsid w:val="00C9714C"/>
    <w:rsid w:val="00CA4682"/>
    <w:rsid w:val="00CA5344"/>
    <w:rsid w:val="00CB08B7"/>
    <w:rsid w:val="00D03AE6"/>
    <w:rsid w:val="00D103BA"/>
    <w:rsid w:val="00D20053"/>
    <w:rsid w:val="00D245C9"/>
    <w:rsid w:val="00D424C5"/>
    <w:rsid w:val="00D466CC"/>
    <w:rsid w:val="00D50E85"/>
    <w:rsid w:val="00D521DC"/>
    <w:rsid w:val="00D61DB3"/>
    <w:rsid w:val="00D84BA5"/>
    <w:rsid w:val="00DA770E"/>
    <w:rsid w:val="00DD147A"/>
    <w:rsid w:val="00E17D26"/>
    <w:rsid w:val="00E20A60"/>
    <w:rsid w:val="00E21789"/>
    <w:rsid w:val="00E4549B"/>
    <w:rsid w:val="00E45C8E"/>
    <w:rsid w:val="00E62C16"/>
    <w:rsid w:val="00E71CC2"/>
    <w:rsid w:val="00E80D3E"/>
    <w:rsid w:val="00E90907"/>
    <w:rsid w:val="00E93A21"/>
    <w:rsid w:val="00EA2BCC"/>
    <w:rsid w:val="00EB47B2"/>
    <w:rsid w:val="00EE1883"/>
    <w:rsid w:val="00EF1EA2"/>
    <w:rsid w:val="00EF745C"/>
    <w:rsid w:val="00F13C7F"/>
    <w:rsid w:val="00F15D16"/>
    <w:rsid w:val="00F232DA"/>
    <w:rsid w:val="00F23930"/>
    <w:rsid w:val="00F46B52"/>
    <w:rsid w:val="00F6627E"/>
    <w:rsid w:val="00F75595"/>
    <w:rsid w:val="00F91F2D"/>
    <w:rsid w:val="00F97901"/>
    <w:rsid w:val="00FA192F"/>
    <w:rsid w:val="00FA22C2"/>
    <w:rsid w:val="00FB7BF2"/>
    <w:rsid w:val="00FC0B50"/>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CD39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C1B"/>
    <w:rPr>
      <w:rFonts w:ascii="Times New Roman" w:hAnsi="Times New Roman"/>
    </w:rPr>
  </w:style>
  <w:style w:type="paragraph" w:styleId="Heading1">
    <w:name w:val="heading 1"/>
    <w:basedOn w:val="Normal"/>
    <w:next w:val="Normal"/>
    <w:link w:val="Heading1Char"/>
    <w:uiPriority w:val="9"/>
    <w:qFormat/>
    <w:rsid w:val="000D0EE8"/>
    <w:pPr>
      <w:pBdr>
        <w:top w:val="single" w:sz="8" w:space="0" w:color="auto"/>
        <w:left w:val="single" w:sz="8" w:space="0" w:color="auto"/>
        <w:bottom w:val="single" w:sz="8" w:space="0" w:color="auto"/>
        <w:right w:val="single" w:sz="8" w:space="0" w:color="auto"/>
      </w:pBdr>
      <w:shd w:val="clear" w:color="auto" w:fill="FFC000" w:themeFill="accent4"/>
      <w:spacing w:before="200" w:line="276" w:lineRule="auto"/>
      <w:jc w:val="center"/>
      <w:outlineLvl w:val="0"/>
    </w:pPr>
    <w:rPr>
      <w:rFonts w:ascii="Georgia" w:eastAsiaTheme="minorEastAsia" w:hAnsi="Georgia"/>
      <w:b/>
      <w:bCs/>
      <w:caps/>
      <w:spacing w:val="20"/>
      <w:szCs w:val="22"/>
    </w:rPr>
  </w:style>
  <w:style w:type="paragraph" w:styleId="Heading2">
    <w:name w:val="heading 2"/>
    <w:basedOn w:val="Normal"/>
    <w:next w:val="Normal"/>
    <w:link w:val="Heading2Char"/>
    <w:uiPriority w:val="9"/>
    <w:unhideWhenUsed/>
    <w:qFormat/>
    <w:rsid w:val="00325C1B"/>
    <w:pPr>
      <w:pBdr>
        <w:bottom w:val="single" w:sz="8" w:space="0" w:color="auto"/>
      </w:pBdr>
      <w:spacing w:before="200" w:line="276" w:lineRule="auto"/>
      <w:outlineLvl w:val="1"/>
    </w:pPr>
    <w:rPr>
      <w:rFonts w:eastAsiaTheme="minorEastAsia"/>
      <w:smallCaps/>
      <w:spacing w:val="15"/>
      <w:sz w:val="22"/>
      <w:szCs w:val="22"/>
    </w:rPr>
  </w:style>
  <w:style w:type="paragraph" w:styleId="Heading3">
    <w:name w:val="heading 3"/>
    <w:basedOn w:val="Normal"/>
    <w:next w:val="Normal"/>
    <w:link w:val="Heading3Char"/>
    <w:uiPriority w:val="9"/>
    <w:unhideWhenUsed/>
    <w:qFormat/>
    <w:rsid w:val="00325C1B"/>
    <w:pPr>
      <w:pBdr>
        <w:top w:val="single" w:sz="6" w:space="2" w:color="4F81BD"/>
        <w:left w:val="single" w:sz="6" w:space="2" w:color="4F81BD"/>
      </w:pBdr>
      <w:spacing w:before="300" w:line="276" w:lineRule="auto"/>
      <w:outlineLvl w:val="2"/>
    </w:pPr>
    <w:rPr>
      <w:rFonts w:eastAsiaTheme="minorEastAsia"/>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5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582C"/>
    <w:pPr>
      <w:spacing w:before="100" w:beforeAutospacing="1" w:after="100" w:afterAutospacing="1"/>
    </w:pPr>
    <w:rPr>
      <w:rFonts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cs="Times New Roman"/>
      <w:sz w:val="18"/>
      <w:szCs w:val="18"/>
    </w:rPr>
  </w:style>
  <w:style w:type="paragraph" w:customStyle="1" w:styleId="p2">
    <w:name w:val="p2"/>
    <w:basedOn w:val="Normal"/>
    <w:rsid w:val="00E21789"/>
    <w:rPr>
      <w:rFonts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character" w:customStyle="1" w:styleId="Heading1Char">
    <w:name w:val="Heading 1 Char"/>
    <w:basedOn w:val="DefaultParagraphFont"/>
    <w:link w:val="Heading1"/>
    <w:uiPriority w:val="9"/>
    <w:rsid w:val="000D0EE8"/>
    <w:rPr>
      <w:rFonts w:ascii="Georgia" w:eastAsiaTheme="minorEastAsia" w:hAnsi="Georgia"/>
      <w:b/>
      <w:bCs/>
      <w:caps/>
      <w:spacing w:val="20"/>
      <w:szCs w:val="22"/>
      <w:shd w:val="clear" w:color="auto" w:fill="FFC000" w:themeFill="accent4"/>
    </w:rPr>
  </w:style>
  <w:style w:type="character" w:customStyle="1" w:styleId="Heading2Char">
    <w:name w:val="Heading 2 Char"/>
    <w:basedOn w:val="DefaultParagraphFont"/>
    <w:link w:val="Heading2"/>
    <w:uiPriority w:val="9"/>
    <w:rsid w:val="00325C1B"/>
    <w:rPr>
      <w:rFonts w:ascii="Times New Roman" w:eastAsiaTheme="minorEastAsia" w:hAnsi="Times New Roman"/>
      <w:smallCaps/>
      <w:spacing w:val="15"/>
      <w:sz w:val="22"/>
      <w:szCs w:val="22"/>
    </w:rPr>
  </w:style>
  <w:style w:type="character" w:customStyle="1" w:styleId="Heading3Char">
    <w:name w:val="Heading 3 Char"/>
    <w:basedOn w:val="DefaultParagraphFont"/>
    <w:link w:val="Heading3"/>
    <w:uiPriority w:val="9"/>
    <w:rsid w:val="00325C1B"/>
    <w:rPr>
      <w:rFonts w:eastAsiaTheme="minorEastAsia"/>
      <w:caps/>
      <w:color w:val="243F60"/>
      <w:spacing w:val="15"/>
      <w:sz w:val="22"/>
      <w:szCs w:val="22"/>
    </w:rPr>
  </w:style>
  <w:style w:type="paragraph" w:styleId="ListParagraph">
    <w:name w:val="List Paragraph"/>
    <w:basedOn w:val="Normal"/>
    <w:uiPriority w:val="34"/>
    <w:qFormat/>
    <w:rsid w:val="00325C1B"/>
    <w:pPr>
      <w:spacing w:before="200" w:after="200" w:line="276" w:lineRule="auto"/>
      <w:ind w:left="720"/>
      <w:contextualSpacing/>
    </w:pPr>
    <w:rPr>
      <w:rFonts w:eastAsiaTheme="minorEastAsia"/>
      <w:sz w:val="20"/>
      <w:szCs w:val="20"/>
    </w:rPr>
  </w:style>
  <w:style w:type="paragraph" w:styleId="NoSpacing">
    <w:name w:val="No Spacing"/>
    <w:basedOn w:val="Normal"/>
    <w:link w:val="NoSpacingChar"/>
    <w:uiPriority w:val="1"/>
    <w:qFormat/>
    <w:rsid w:val="00325C1B"/>
    <w:rPr>
      <w:rFonts w:eastAsiaTheme="minorEastAsia"/>
      <w:sz w:val="20"/>
      <w:szCs w:val="20"/>
    </w:rPr>
  </w:style>
  <w:style w:type="paragraph" w:styleId="Title">
    <w:name w:val="Title"/>
    <w:basedOn w:val="Normal"/>
    <w:next w:val="Normal"/>
    <w:link w:val="TitleChar"/>
    <w:uiPriority w:val="10"/>
    <w:qFormat/>
    <w:rsid w:val="00325C1B"/>
    <w:pPr>
      <w:spacing w:before="400" w:after="200" w:line="276" w:lineRule="auto"/>
    </w:pPr>
    <w:rPr>
      <w:rFonts w:eastAsiaTheme="minorEastAsia"/>
      <w:spacing w:val="10"/>
      <w:kern w:val="28"/>
      <w:sz w:val="36"/>
      <w:szCs w:val="52"/>
    </w:rPr>
  </w:style>
  <w:style w:type="character" w:customStyle="1" w:styleId="TitleChar">
    <w:name w:val="Title Char"/>
    <w:basedOn w:val="DefaultParagraphFont"/>
    <w:link w:val="Title"/>
    <w:uiPriority w:val="10"/>
    <w:rsid w:val="00325C1B"/>
    <w:rPr>
      <w:rFonts w:ascii="Times New Roman" w:eastAsiaTheme="minorEastAsia" w:hAnsi="Times New Roman"/>
      <w:spacing w:val="10"/>
      <w:kern w:val="28"/>
      <w:sz w:val="36"/>
      <w:szCs w:val="52"/>
    </w:rPr>
  </w:style>
  <w:style w:type="paragraph" w:styleId="Subtitle">
    <w:name w:val="Subtitle"/>
    <w:basedOn w:val="Normal"/>
    <w:next w:val="Normal"/>
    <w:link w:val="SubtitleChar"/>
    <w:uiPriority w:val="11"/>
    <w:qFormat/>
    <w:rsid w:val="00325C1B"/>
    <w:pPr>
      <w:spacing w:before="200" w:after="200"/>
    </w:pPr>
    <w:rPr>
      <w:rFonts w:eastAsiaTheme="minorEastAsia"/>
      <w:color w:val="595959"/>
      <w:spacing w:val="10"/>
    </w:rPr>
  </w:style>
  <w:style w:type="character" w:customStyle="1" w:styleId="SubtitleChar">
    <w:name w:val="Subtitle Char"/>
    <w:basedOn w:val="DefaultParagraphFont"/>
    <w:link w:val="Subtitle"/>
    <w:uiPriority w:val="11"/>
    <w:rsid w:val="00325C1B"/>
    <w:rPr>
      <w:rFonts w:ascii="Times New Roman" w:eastAsiaTheme="minorEastAsia" w:hAnsi="Times New Roman"/>
      <w:color w:val="595959"/>
      <w:spacing w:val="10"/>
    </w:rPr>
  </w:style>
  <w:style w:type="character" w:customStyle="1" w:styleId="NoSpacingChar">
    <w:name w:val="No Spacing Char"/>
    <w:link w:val="NoSpacing"/>
    <w:uiPriority w:val="1"/>
    <w:rsid w:val="00325C1B"/>
    <w:rPr>
      <w:rFonts w:ascii="Times New Roman" w:eastAsiaTheme="minorEastAsia" w:hAnsi="Times New Roman"/>
      <w:sz w:val="20"/>
      <w:szCs w:val="20"/>
    </w:rPr>
  </w:style>
  <w:style w:type="paragraph" w:styleId="TOCHeading">
    <w:name w:val="TOC Heading"/>
    <w:basedOn w:val="Heading1"/>
    <w:next w:val="Normal"/>
    <w:uiPriority w:val="39"/>
    <w:unhideWhenUsed/>
    <w:qFormat/>
    <w:rsid w:val="00325C1B"/>
    <w:pPr>
      <w:shd w:val="clear" w:color="auto" w:fill="B4C6E7" w:themeFill="accent1" w:themeFillTint="66"/>
      <w:outlineLvl w:val="9"/>
    </w:pPr>
    <w:rPr>
      <w:lang w:bidi="en-US"/>
    </w:rPr>
  </w:style>
  <w:style w:type="paragraph" w:styleId="TOC2">
    <w:name w:val="toc 2"/>
    <w:basedOn w:val="Normal"/>
    <w:next w:val="Normal"/>
    <w:autoRedefine/>
    <w:uiPriority w:val="39"/>
    <w:rsid w:val="00325C1B"/>
    <w:pPr>
      <w:spacing w:before="200" w:after="100" w:line="276" w:lineRule="auto"/>
      <w:ind w:left="200"/>
    </w:pPr>
    <w:rPr>
      <w:rFonts w:eastAsiaTheme="minorEastAsia"/>
      <w:sz w:val="20"/>
      <w:szCs w:val="20"/>
    </w:rPr>
  </w:style>
  <w:style w:type="paragraph" w:styleId="TOC3">
    <w:name w:val="toc 3"/>
    <w:basedOn w:val="Normal"/>
    <w:next w:val="Normal"/>
    <w:autoRedefine/>
    <w:uiPriority w:val="39"/>
    <w:rsid w:val="00BE3B0F"/>
    <w:pPr>
      <w:tabs>
        <w:tab w:val="right" w:leader="dot" w:pos="10070"/>
      </w:tabs>
      <w:spacing w:before="200" w:after="100" w:line="276" w:lineRule="auto"/>
      <w:ind w:left="403"/>
      <w:contextualSpacing/>
    </w:pPr>
    <w:rPr>
      <w:rFonts w:eastAsiaTheme="minorEastAsia"/>
      <w:sz w:val="20"/>
      <w:szCs w:val="20"/>
    </w:rPr>
  </w:style>
  <w:style w:type="paragraph" w:styleId="TOC1">
    <w:name w:val="toc 1"/>
    <w:basedOn w:val="Normal"/>
    <w:next w:val="Normal"/>
    <w:autoRedefine/>
    <w:uiPriority w:val="39"/>
    <w:rsid w:val="00325C1B"/>
    <w:pPr>
      <w:tabs>
        <w:tab w:val="right" w:leader="dot" w:pos="10070"/>
      </w:tabs>
      <w:contextualSpacing/>
    </w:pPr>
    <w:rPr>
      <w:rFonts w:eastAsiaTheme="minorEastAsia"/>
      <w:sz w:val="20"/>
      <w:szCs w:val="20"/>
    </w:rPr>
  </w:style>
  <w:style w:type="character" w:styleId="FollowedHyperlink">
    <w:name w:val="FollowedHyperlink"/>
    <w:basedOn w:val="DefaultParagraphFont"/>
    <w:uiPriority w:val="99"/>
    <w:semiHidden/>
    <w:unhideWhenUsed/>
    <w:rsid w:val="00AE6E40"/>
    <w:rPr>
      <w:color w:val="954F72" w:themeColor="followedHyperlink"/>
      <w:u w:val="single"/>
    </w:rPr>
  </w:style>
  <w:style w:type="paragraph" w:styleId="BalloonText">
    <w:name w:val="Balloon Text"/>
    <w:basedOn w:val="Normal"/>
    <w:link w:val="BalloonTextChar"/>
    <w:uiPriority w:val="99"/>
    <w:semiHidden/>
    <w:unhideWhenUsed/>
    <w:rsid w:val="00A50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7E1"/>
    <w:rPr>
      <w:rFonts w:ascii="Segoe UI" w:hAnsi="Segoe UI" w:cs="Segoe UI"/>
      <w:sz w:val="18"/>
      <w:szCs w:val="18"/>
    </w:rPr>
  </w:style>
  <w:style w:type="character" w:styleId="CommentReference">
    <w:name w:val="annotation reference"/>
    <w:basedOn w:val="DefaultParagraphFont"/>
    <w:uiPriority w:val="99"/>
    <w:semiHidden/>
    <w:unhideWhenUsed/>
    <w:rsid w:val="00C20ADB"/>
    <w:rPr>
      <w:sz w:val="16"/>
      <w:szCs w:val="16"/>
    </w:rPr>
  </w:style>
  <w:style w:type="paragraph" w:styleId="CommentText">
    <w:name w:val="annotation text"/>
    <w:basedOn w:val="Normal"/>
    <w:link w:val="CommentTextChar"/>
    <w:uiPriority w:val="99"/>
    <w:semiHidden/>
    <w:unhideWhenUsed/>
    <w:rsid w:val="00C20ADB"/>
    <w:rPr>
      <w:sz w:val="20"/>
      <w:szCs w:val="20"/>
    </w:rPr>
  </w:style>
  <w:style w:type="character" w:customStyle="1" w:styleId="CommentTextChar">
    <w:name w:val="Comment Text Char"/>
    <w:basedOn w:val="DefaultParagraphFont"/>
    <w:link w:val="CommentText"/>
    <w:uiPriority w:val="99"/>
    <w:semiHidden/>
    <w:rsid w:val="00C20AD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0ADB"/>
    <w:rPr>
      <w:b/>
      <w:bCs/>
    </w:rPr>
  </w:style>
  <w:style w:type="character" w:customStyle="1" w:styleId="CommentSubjectChar">
    <w:name w:val="Comment Subject Char"/>
    <w:basedOn w:val="CommentTextChar"/>
    <w:link w:val="CommentSubject"/>
    <w:uiPriority w:val="99"/>
    <w:semiHidden/>
    <w:rsid w:val="00C20AD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7127">
      <w:bodyDiv w:val="1"/>
      <w:marLeft w:val="0"/>
      <w:marRight w:val="0"/>
      <w:marTop w:val="0"/>
      <w:marBottom w:val="0"/>
      <w:divBdr>
        <w:top w:val="none" w:sz="0" w:space="0" w:color="auto"/>
        <w:left w:val="none" w:sz="0" w:space="0" w:color="auto"/>
        <w:bottom w:val="none" w:sz="0" w:space="0" w:color="auto"/>
        <w:right w:val="none" w:sz="0" w:space="0" w:color="auto"/>
      </w:divBdr>
    </w:div>
    <w:div w:id="95179435">
      <w:bodyDiv w:val="1"/>
      <w:marLeft w:val="0"/>
      <w:marRight w:val="0"/>
      <w:marTop w:val="0"/>
      <w:marBottom w:val="0"/>
      <w:divBdr>
        <w:top w:val="none" w:sz="0" w:space="0" w:color="auto"/>
        <w:left w:val="none" w:sz="0" w:space="0" w:color="auto"/>
        <w:bottom w:val="none" w:sz="0" w:space="0" w:color="auto"/>
        <w:right w:val="none" w:sz="0" w:space="0" w:color="auto"/>
      </w:divBdr>
    </w:div>
    <w:div w:id="242642630">
      <w:bodyDiv w:val="1"/>
      <w:marLeft w:val="0"/>
      <w:marRight w:val="0"/>
      <w:marTop w:val="0"/>
      <w:marBottom w:val="0"/>
      <w:divBdr>
        <w:top w:val="none" w:sz="0" w:space="0" w:color="auto"/>
        <w:left w:val="none" w:sz="0" w:space="0" w:color="auto"/>
        <w:bottom w:val="none" w:sz="0" w:space="0" w:color="auto"/>
        <w:right w:val="none" w:sz="0" w:space="0" w:color="auto"/>
      </w:divBdr>
    </w:div>
    <w:div w:id="401372070">
      <w:bodyDiv w:val="1"/>
      <w:marLeft w:val="0"/>
      <w:marRight w:val="0"/>
      <w:marTop w:val="0"/>
      <w:marBottom w:val="0"/>
      <w:divBdr>
        <w:top w:val="none" w:sz="0" w:space="0" w:color="auto"/>
        <w:left w:val="none" w:sz="0" w:space="0" w:color="auto"/>
        <w:bottom w:val="none" w:sz="0" w:space="0" w:color="auto"/>
        <w:right w:val="none" w:sz="0" w:space="0" w:color="auto"/>
      </w:divBdr>
    </w:div>
    <w:div w:id="1046681091">
      <w:bodyDiv w:val="1"/>
      <w:marLeft w:val="0"/>
      <w:marRight w:val="0"/>
      <w:marTop w:val="0"/>
      <w:marBottom w:val="0"/>
      <w:divBdr>
        <w:top w:val="none" w:sz="0" w:space="0" w:color="auto"/>
        <w:left w:val="none" w:sz="0" w:space="0" w:color="auto"/>
        <w:bottom w:val="none" w:sz="0" w:space="0" w:color="auto"/>
        <w:right w:val="none" w:sz="0" w:space="0" w:color="auto"/>
      </w:divBdr>
    </w:div>
    <w:div w:id="1139567841">
      <w:bodyDiv w:val="1"/>
      <w:marLeft w:val="0"/>
      <w:marRight w:val="0"/>
      <w:marTop w:val="0"/>
      <w:marBottom w:val="0"/>
      <w:divBdr>
        <w:top w:val="none" w:sz="0" w:space="0" w:color="auto"/>
        <w:left w:val="none" w:sz="0" w:space="0" w:color="auto"/>
        <w:bottom w:val="none" w:sz="0" w:space="0" w:color="auto"/>
        <w:right w:val="none" w:sz="0" w:space="0" w:color="auto"/>
      </w:divBdr>
    </w:div>
    <w:div w:id="1195658714">
      <w:bodyDiv w:val="1"/>
      <w:marLeft w:val="0"/>
      <w:marRight w:val="0"/>
      <w:marTop w:val="0"/>
      <w:marBottom w:val="0"/>
      <w:divBdr>
        <w:top w:val="none" w:sz="0" w:space="0" w:color="auto"/>
        <w:left w:val="none" w:sz="0" w:space="0" w:color="auto"/>
        <w:bottom w:val="none" w:sz="0" w:space="0" w:color="auto"/>
        <w:right w:val="none" w:sz="0" w:space="0" w:color="auto"/>
      </w:divBdr>
    </w:div>
    <w:div w:id="1302618653">
      <w:bodyDiv w:val="1"/>
      <w:marLeft w:val="0"/>
      <w:marRight w:val="0"/>
      <w:marTop w:val="0"/>
      <w:marBottom w:val="0"/>
      <w:divBdr>
        <w:top w:val="none" w:sz="0" w:space="0" w:color="auto"/>
        <w:left w:val="none" w:sz="0" w:space="0" w:color="auto"/>
        <w:bottom w:val="none" w:sz="0" w:space="0" w:color="auto"/>
        <w:right w:val="none" w:sz="0" w:space="0" w:color="auto"/>
      </w:divBdr>
    </w:div>
    <w:div w:id="1382292681">
      <w:bodyDiv w:val="1"/>
      <w:marLeft w:val="0"/>
      <w:marRight w:val="0"/>
      <w:marTop w:val="0"/>
      <w:marBottom w:val="0"/>
      <w:divBdr>
        <w:top w:val="none" w:sz="0" w:space="0" w:color="auto"/>
        <w:left w:val="none" w:sz="0" w:space="0" w:color="auto"/>
        <w:bottom w:val="none" w:sz="0" w:space="0" w:color="auto"/>
        <w:right w:val="none" w:sz="0" w:space="0" w:color="auto"/>
      </w:divBdr>
    </w:div>
    <w:div w:id="1414427443">
      <w:bodyDiv w:val="1"/>
      <w:marLeft w:val="0"/>
      <w:marRight w:val="0"/>
      <w:marTop w:val="0"/>
      <w:marBottom w:val="0"/>
      <w:divBdr>
        <w:top w:val="none" w:sz="0" w:space="0" w:color="auto"/>
        <w:left w:val="none" w:sz="0" w:space="0" w:color="auto"/>
        <w:bottom w:val="none" w:sz="0" w:space="0" w:color="auto"/>
        <w:right w:val="none" w:sz="0" w:space="0" w:color="auto"/>
      </w:divBdr>
    </w:div>
    <w:div w:id="1476600100">
      <w:bodyDiv w:val="1"/>
      <w:marLeft w:val="0"/>
      <w:marRight w:val="0"/>
      <w:marTop w:val="0"/>
      <w:marBottom w:val="0"/>
      <w:divBdr>
        <w:top w:val="none" w:sz="0" w:space="0" w:color="auto"/>
        <w:left w:val="none" w:sz="0" w:space="0" w:color="auto"/>
        <w:bottom w:val="none" w:sz="0" w:space="0" w:color="auto"/>
        <w:right w:val="none" w:sz="0" w:space="0" w:color="auto"/>
      </w:divBdr>
    </w:div>
    <w:div w:id="1720670336">
      <w:bodyDiv w:val="1"/>
      <w:marLeft w:val="0"/>
      <w:marRight w:val="0"/>
      <w:marTop w:val="0"/>
      <w:marBottom w:val="0"/>
      <w:divBdr>
        <w:top w:val="none" w:sz="0" w:space="0" w:color="auto"/>
        <w:left w:val="none" w:sz="0" w:space="0" w:color="auto"/>
        <w:bottom w:val="none" w:sz="0" w:space="0" w:color="auto"/>
        <w:right w:val="none" w:sz="0" w:space="0" w:color="auto"/>
      </w:divBdr>
    </w:div>
    <w:div w:id="1898665869">
      <w:bodyDiv w:val="1"/>
      <w:marLeft w:val="0"/>
      <w:marRight w:val="0"/>
      <w:marTop w:val="0"/>
      <w:marBottom w:val="0"/>
      <w:divBdr>
        <w:top w:val="none" w:sz="0" w:space="0" w:color="auto"/>
        <w:left w:val="none" w:sz="0" w:space="0" w:color="auto"/>
        <w:bottom w:val="none" w:sz="0" w:space="0" w:color="auto"/>
        <w:right w:val="none" w:sz="0" w:space="0" w:color="auto"/>
      </w:divBdr>
    </w:div>
    <w:div w:id="1960797498">
      <w:bodyDiv w:val="1"/>
      <w:marLeft w:val="0"/>
      <w:marRight w:val="0"/>
      <w:marTop w:val="0"/>
      <w:marBottom w:val="0"/>
      <w:divBdr>
        <w:top w:val="none" w:sz="0" w:space="0" w:color="auto"/>
        <w:left w:val="none" w:sz="0" w:space="0" w:color="auto"/>
        <w:bottom w:val="none" w:sz="0" w:space="0" w:color="auto"/>
        <w:right w:val="none" w:sz="0" w:space="0" w:color="auto"/>
      </w:divBdr>
    </w:div>
    <w:div w:id="2126271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da.health.maryland.gov/Documents/COVID%2019%20Documents/Governor%20Hogan%27s%20Stay%20at%20Home%20%20Executive%20Order%203-30-20.pdf" TargetMode="External"/><Relationship Id="rId26" Type="http://schemas.openxmlformats.org/officeDocument/2006/relationships/hyperlink" Target="mailto:eharris@maryland.gov" TargetMode="External"/><Relationship Id="rId3" Type="http://schemas.openxmlformats.org/officeDocument/2006/relationships/customXml" Target="../customXml/item3.xml"/><Relationship Id="rId21" Type="http://schemas.openxmlformats.org/officeDocument/2006/relationships/hyperlink" Target="https://dda.health.maryland.gov/Documents/COVID%2019%20Documents/Appendix%20K/Topic%20Specific%20Guidance/4-DDA%20Appendix%20K%204-Execptions%20to%20Pre%20Authorization%20and%20Service%20Requirements.pdf"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overnor.maryland.gov/covid-19-pandemic-orders-and-guidance/" TargetMode="External"/><Relationship Id="rId25" Type="http://schemas.openxmlformats.org/officeDocument/2006/relationships/hyperlink" Target="mailto:renee.benjamin@maryland.gov"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da.health.maryland.gov/Documents/COVID%2019%20Documents/Appendix%20K/Topic%20Specific%20Guidance/1-DDA%20Appendix%20K%201-Retainer%20Payment%20Guidance.pdf" TargetMode="External"/><Relationship Id="rId20" Type="http://schemas.openxmlformats.org/officeDocument/2006/relationships/hyperlink" Target="https://dda.health.maryland.gov/Documents/COVID%2019%20Documents/Appendix%20K/Topic%20Specific%20Guidance/7-DDA%20Appendix%20K%207-Increased%20Rate%20for%20Supporting%20Person%27s%20with%20COVID-19%20Virus.pdf" TargetMode="External"/><Relationship Id="rId29" Type="http://schemas.openxmlformats.org/officeDocument/2006/relationships/hyperlink" Target="http://dda.dhmh.maryland.gov/Pages/Developments/2015/sample%20cms%201500%20form%20icd1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mathew.abraham@maryland.gov"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da.health.maryland.gov/Pages/DDA_Appendix_K.aspx" TargetMode="External"/><Relationship Id="rId23" Type="http://schemas.openxmlformats.org/officeDocument/2006/relationships/hyperlink" Target="https://dda.health.maryland.gov/Documents/COVID%2019%20Documents/Appendix%20K/Topic%20Specific%20Guidance/5-DDA%20Appendix%20K%205-COVID-19%20New%20Services%20Authorization%20Request%20Process.pdf" TargetMode="External"/><Relationship Id="rId28" Type="http://schemas.openxmlformats.org/officeDocument/2006/relationships/hyperlink" Target="mailto:wmro.supportinv@maryland.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da.health.maryland.gov/Documents/COVID%2019%20Documents/Appendix%20K/Topic%20Specific%20Guidance/2-DDA%20Appendix%20K%202-Residential%20Day%20Time%20Shared%20Service%20Hours%20Authorization.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da.health.maryland.gov/Documents/COVID%2019%20Documents/Appendix%20K/Topic%20Specific%20Guidance/4-DDA%20Appendix%20K%204-Execptions%20to%20Pre%20Authorization%20and%20Service%20Requirements.pdf" TargetMode="External"/><Relationship Id="rId27" Type="http://schemas.openxmlformats.org/officeDocument/2006/relationships/hyperlink" Target="mailto:terrie.logue@maryland.gov" TargetMode="External"/><Relationship Id="rId30" Type="http://schemas.openxmlformats.org/officeDocument/2006/relationships/hyperlink" Target="https://dda.health.maryland.gov/Pages/Federal%20Billing.aspx"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hyperlink" Target="http://dda.dhmh.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0da0ce335292d04bdf4e2061b19af53b">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12D2C-0FFE-458B-A98D-E8E0DAAD074C}"/>
</file>

<file path=customXml/itemProps2.xml><?xml version="1.0" encoding="utf-8"?>
<ds:datastoreItem xmlns:ds="http://schemas.openxmlformats.org/officeDocument/2006/customXml" ds:itemID="{8EA3990B-5DF6-4FAC-9C2E-28FCC802490A}"/>
</file>

<file path=customXml/itemProps3.xml><?xml version="1.0" encoding="utf-8"?>
<ds:datastoreItem xmlns:ds="http://schemas.openxmlformats.org/officeDocument/2006/customXml" ds:itemID="{33716907-4AE7-4F4E-91D5-4453E6F56C05}"/>
</file>

<file path=customXml/itemProps4.xml><?xml version="1.0" encoding="utf-8"?>
<ds:datastoreItem xmlns:ds="http://schemas.openxmlformats.org/officeDocument/2006/customXml" ds:itemID="{29C02645-A8EC-4E8A-9887-B7C4E71F48DA}"/>
</file>

<file path=docProps/app.xml><?xml version="1.0" encoding="utf-8"?>
<Properties xmlns="http://schemas.openxmlformats.org/officeDocument/2006/extended-properties" xmlns:vt="http://schemas.openxmlformats.org/officeDocument/2006/docPropsVTypes">
  <Template>Normal</Template>
  <TotalTime>1</TotalTime>
  <Pages>9</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 Regan -MDH-</dc:creator>
  <cp:keywords/>
  <dc:description/>
  <cp:lastModifiedBy>Casey Brown</cp:lastModifiedBy>
  <cp:revision>2</cp:revision>
  <dcterms:created xsi:type="dcterms:W3CDTF">2020-05-04T18:36:00Z</dcterms:created>
  <dcterms:modified xsi:type="dcterms:W3CDTF">2020-05-04T18:36:00Z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TemplateUrl">
    <vt:lpwstr/>
  </property>
  <property fmtid="{D5CDD505-2E9C-101B-9397-08002B2CF9AE}" pid="4" name="Order">
    <vt:r8>63000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