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E5DF" w14:textId="544B81D7" w:rsidR="00B5287D" w:rsidRDefault="00593CF9" w:rsidP="00AF43B7">
      <w:pPr>
        <w:jc w:val="center"/>
        <w:rPr>
          <w:i/>
          <w:color w:val="FF0000"/>
          <w:sz w:val="36"/>
          <w:szCs w:val="36"/>
        </w:rPr>
      </w:pPr>
      <w:r w:rsidRPr="00775F59">
        <w:rPr>
          <w:b/>
          <w:sz w:val="36"/>
          <w:szCs w:val="36"/>
        </w:rPr>
        <w:t>Non</w:t>
      </w:r>
      <w:r w:rsidR="005C26EA">
        <w:rPr>
          <w:b/>
          <w:sz w:val="36"/>
          <w:szCs w:val="36"/>
        </w:rPr>
        <w:t>-</w:t>
      </w:r>
      <w:r w:rsidRPr="00775F59">
        <w:rPr>
          <w:b/>
          <w:sz w:val="36"/>
          <w:szCs w:val="36"/>
        </w:rPr>
        <w:t xml:space="preserve">Chargeable </w:t>
      </w:r>
      <w:r w:rsidR="00345C84" w:rsidRPr="00775F59">
        <w:rPr>
          <w:b/>
          <w:sz w:val="36"/>
          <w:szCs w:val="36"/>
        </w:rPr>
        <w:t>List</w:t>
      </w:r>
      <w:r w:rsidR="00345C84">
        <w:rPr>
          <w:b/>
          <w:sz w:val="36"/>
          <w:szCs w:val="36"/>
        </w:rPr>
        <w:t xml:space="preserve"> Fiscal</w:t>
      </w:r>
      <w:r w:rsidR="00D95F5D">
        <w:rPr>
          <w:b/>
          <w:sz w:val="36"/>
          <w:szCs w:val="36"/>
        </w:rPr>
        <w:t xml:space="preserve"> Year</w:t>
      </w:r>
      <w:r w:rsidR="00B8143D">
        <w:rPr>
          <w:b/>
          <w:sz w:val="36"/>
          <w:szCs w:val="36"/>
        </w:rPr>
        <w:t xml:space="preserve"> </w:t>
      </w:r>
      <w:r w:rsidR="00AF43B7">
        <w:rPr>
          <w:b/>
          <w:sz w:val="36"/>
          <w:szCs w:val="36"/>
        </w:rPr>
        <w:t>2026</w:t>
      </w:r>
    </w:p>
    <w:p w14:paraId="087C60F3" w14:textId="794F0B07" w:rsidR="00593CF9" w:rsidRPr="00493BF7" w:rsidRDefault="00593CF9" w:rsidP="00593CF9">
      <w:pPr>
        <w:spacing w:after="0" w:line="240" w:lineRule="auto"/>
        <w:rPr>
          <w:i/>
          <w:color w:val="FF0000"/>
          <w:sz w:val="28"/>
          <w:szCs w:val="28"/>
        </w:rPr>
      </w:pPr>
      <w:r w:rsidRPr="00EA6CE1">
        <w:rPr>
          <w:b/>
          <w:sz w:val="28"/>
          <w:szCs w:val="28"/>
        </w:rPr>
        <w:t xml:space="preserve">Addiction </w:t>
      </w:r>
      <w:proofErr w:type="gramStart"/>
      <w:r w:rsidRPr="00EA6CE1">
        <w:rPr>
          <w:b/>
          <w:sz w:val="28"/>
          <w:szCs w:val="28"/>
        </w:rPr>
        <w:t>Services</w:t>
      </w:r>
      <w:r w:rsidR="00493BF7">
        <w:rPr>
          <w:b/>
          <w:sz w:val="28"/>
          <w:szCs w:val="28"/>
        </w:rPr>
        <w:t xml:space="preserve">  </w:t>
      </w:r>
      <w:r w:rsidR="00947F41">
        <w:rPr>
          <w:b/>
          <w:sz w:val="28"/>
          <w:szCs w:val="28"/>
        </w:rPr>
        <w:tab/>
      </w:r>
      <w:proofErr w:type="gramEnd"/>
      <w:r w:rsidR="00947F41">
        <w:rPr>
          <w:b/>
          <w:sz w:val="28"/>
          <w:szCs w:val="28"/>
        </w:rPr>
        <w:tab/>
      </w:r>
      <w:r w:rsidR="00947F41">
        <w:rPr>
          <w:b/>
          <w:sz w:val="28"/>
          <w:szCs w:val="28"/>
        </w:rPr>
        <w:tab/>
      </w:r>
      <w:r w:rsidR="00947F41">
        <w:rPr>
          <w:b/>
          <w:sz w:val="28"/>
          <w:szCs w:val="28"/>
        </w:rPr>
        <w:tab/>
      </w:r>
      <w:r w:rsidR="00947F41">
        <w:rPr>
          <w:b/>
          <w:sz w:val="28"/>
          <w:szCs w:val="28"/>
        </w:rPr>
        <w:tab/>
      </w:r>
      <w:r w:rsidR="00947F41">
        <w:rPr>
          <w:b/>
          <w:sz w:val="28"/>
          <w:szCs w:val="28"/>
        </w:rPr>
        <w:tab/>
        <w:t>Additional Explanation</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5940"/>
      </w:tblGrid>
      <w:tr w:rsidR="00947F41" w:rsidRPr="00AF43B7" w14:paraId="63779F8B" w14:textId="18C9EB13" w:rsidTr="00AF43B7">
        <w:tc>
          <w:tcPr>
            <w:tcW w:w="4855" w:type="dxa"/>
            <w:shd w:val="clear" w:color="auto" w:fill="auto"/>
          </w:tcPr>
          <w:p w14:paraId="26A001F3" w14:textId="77777777" w:rsidR="00947F41" w:rsidRPr="00AF43B7" w:rsidRDefault="00947F41" w:rsidP="00834E86">
            <w:pPr>
              <w:spacing w:after="0" w:line="240" w:lineRule="auto"/>
              <w:rPr>
                <w:color w:val="FF0000"/>
                <w:sz w:val="24"/>
                <w:szCs w:val="24"/>
              </w:rPr>
            </w:pPr>
            <w:r w:rsidRPr="00AF43B7">
              <w:rPr>
                <w:sz w:val="24"/>
                <w:szCs w:val="24"/>
              </w:rPr>
              <w:t>Court-Based Screening</w:t>
            </w:r>
            <w:r w:rsidRPr="00AF43B7">
              <w:rPr>
                <w:color w:val="FF0000"/>
                <w:sz w:val="24"/>
                <w:szCs w:val="24"/>
              </w:rPr>
              <w:t xml:space="preserve"> </w:t>
            </w:r>
          </w:p>
        </w:tc>
        <w:tc>
          <w:tcPr>
            <w:tcW w:w="5940" w:type="dxa"/>
            <w:shd w:val="clear" w:color="auto" w:fill="auto"/>
          </w:tcPr>
          <w:p w14:paraId="154BECA8" w14:textId="1D443521" w:rsidR="00947F41" w:rsidRPr="00AF43B7" w:rsidRDefault="00947F41" w:rsidP="00947F41">
            <w:pPr>
              <w:spacing w:after="0" w:line="240" w:lineRule="auto"/>
              <w:rPr>
                <w:sz w:val="18"/>
                <w:szCs w:val="18"/>
              </w:rPr>
            </w:pPr>
            <w:r w:rsidRPr="00AF43B7">
              <w:rPr>
                <w:sz w:val="18"/>
                <w:szCs w:val="18"/>
              </w:rPr>
              <w:t xml:space="preserve">As defined in </w:t>
            </w:r>
            <w:hyperlink r:id="rId6" w:history="1">
              <w:r w:rsidRPr="00AF43B7">
                <w:rPr>
                  <w:rStyle w:val="Hyperlink"/>
                  <w:sz w:val="18"/>
                  <w:szCs w:val="18"/>
                </w:rPr>
                <w:t>COMAR 10.47.01.02</w:t>
              </w:r>
            </w:hyperlink>
            <w:r w:rsidRPr="00AF43B7">
              <w:rPr>
                <w:sz w:val="18"/>
                <w:szCs w:val="18"/>
              </w:rPr>
              <w:t>,”Screening” means the utilization of a valid tool or instrument approved by the Administration to determine whether or not an individual may have alcohol or other drug abuse or dependence or both and will need further evaluation</w:t>
            </w:r>
            <w:r w:rsidR="007B153C" w:rsidRPr="00AF43B7">
              <w:rPr>
                <w:sz w:val="18"/>
                <w:szCs w:val="18"/>
              </w:rPr>
              <w:t>.</w:t>
            </w:r>
          </w:p>
        </w:tc>
      </w:tr>
      <w:tr w:rsidR="00947F41" w:rsidRPr="00AF43B7" w14:paraId="005083BB" w14:textId="1CC297B7" w:rsidTr="00AF43B7">
        <w:tc>
          <w:tcPr>
            <w:tcW w:w="4855" w:type="dxa"/>
            <w:shd w:val="clear" w:color="auto" w:fill="auto"/>
          </w:tcPr>
          <w:p w14:paraId="7F307048" w14:textId="77777777" w:rsidR="00947F41" w:rsidRPr="00AF43B7" w:rsidRDefault="00947F41" w:rsidP="00834E86">
            <w:pPr>
              <w:spacing w:after="0" w:line="240" w:lineRule="auto"/>
              <w:rPr>
                <w:i/>
                <w:color w:val="FF0000"/>
                <w:sz w:val="24"/>
                <w:szCs w:val="24"/>
              </w:rPr>
            </w:pPr>
            <w:r w:rsidRPr="00AF43B7">
              <w:rPr>
                <w:sz w:val="24"/>
                <w:szCs w:val="24"/>
              </w:rPr>
              <w:t xml:space="preserve">General Education or Prevention Services  </w:t>
            </w:r>
          </w:p>
        </w:tc>
        <w:tc>
          <w:tcPr>
            <w:tcW w:w="5940" w:type="dxa"/>
            <w:shd w:val="clear" w:color="auto" w:fill="auto"/>
          </w:tcPr>
          <w:p w14:paraId="7043012C" w14:textId="77777777" w:rsidR="00947F41" w:rsidRPr="00AF43B7" w:rsidRDefault="00947F41">
            <w:pPr>
              <w:spacing w:after="0" w:line="240" w:lineRule="auto"/>
              <w:rPr>
                <w:sz w:val="18"/>
                <w:szCs w:val="18"/>
              </w:rPr>
            </w:pPr>
          </w:p>
        </w:tc>
      </w:tr>
      <w:tr w:rsidR="00947F41" w:rsidRPr="00AF43B7" w14:paraId="6E603F71" w14:textId="5590EFF1" w:rsidTr="00AF43B7">
        <w:tc>
          <w:tcPr>
            <w:tcW w:w="4855" w:type="dxa"/>
            <w:shd w:val="clear" w:color="auto" w:fill="auto"/>
          </w:tcPr>
          <w:p w14:paraId="2BDA3CEE" w14:textId="77777777" w:rsidR="00947F41" w:rsidRPr="00AF43B7" w:rsidRDefault="00947F41" w:rsidP="00834E86">
            <w:pPr>
              <w:spacing w:after="0" w:line="240" w:lineRule="auto"/>
              <w:rPr>
                <w:i/>
                <w:sz w:val="24"/>
                <w:szCs w:val="24"/>
              </w:rPr>
            </w:pPr>
            <w:r w:rsidRPr="00AF43B7">
              <w:rPr>
                <w:sz w:val="24"/>
                <w:szCs w:val="24"/>
              </w:rPr>
              <w:t xml:space="preserve">In Prison/Detention Center Services  </w:t>
            </w:r>
          </w:p>
        </w:tc>
        <w:tc>
          <w:tcPr>
            <w:tcW w:w="5940" w:type="dxa"/>
            <w:shd w:val="clear" w:color="auto" w:fill="auto"/>
          </w:tcPr>
          <w:p w14:paraId="3451CD3D" w14:textId="77777777" w:rsidR="00947F41" w:rsidRPr="00AF43B7" w:rsidRDefault="00947F41">
            <w:pPr>
              <w:spacing w:after="0" w:line="240" w:lineRule="auto"/>
              <w:rPr>
                <w:sz w:val="18"/>
                <w:szCs w:val="18"/>
              </w:rPr>
            </w:pPr>
          </w:p>
        </w:tc>
      </w:tr>
      <w:tr w:rsidR="00947F41" w:rsidRPr="00AF43B7" w14:paraId="1B74482E" w14:textId="413B6B16" w:rsidTr="00AF43B7">
        <w:tc>
          <w:tcPr>
            <w:tcW w:w="4855" w:type="dxa"/>
            <w:shd w:val="clear" w:color="auto" w:fill="auto"/>
          </w:tcPr>
          <w:p w14:paraId="7D6EB720" w14:textId="77777777" w:rsidR="00947F41" w:rsidRPr="00AF43B7" w:rsidRDefault="00947F41" w:rsidP="00ED198B">
            <w:pPr>
              <w:spacing w:after="0" w:line="240" w:lineRule="auto"/>
              <w:rPr>
                <w:i/>
                <w:color w:val="FF0000"/>
                <w:sz w:val="24"/>
                <w:szCs w:val="24"/>
              </w:rPr>
            </w:pPr>
            <w:r w:rsidRPr="00AF43B7">
              <w:rPr>
                <w:sz w:val="24"/>
                <w:szCs w:val="24"/>
              </w:rPr>
              <w:t xml:space="preserve">Education, Prevention provided to adolescents in a school setting  </w:t>
            </w:r>
          </w:p>
        </w:tc>
        <w:tc>
          <w:tcPr>
            <w:tcW w:w="5940" w:type="dxa"/>
            <w:shd w:val="clear" w:color="auto" w:fill="auto"/>
          </w:tcPr>
          <w:p w14:paraId="1F88013D" w14:textId="41A2A48F" w:rsidR="00947F41" w:rsidRPr="00AF43B7" w:rsidRDefault="00947F41">
            <w:pPr>
              <w:spacing w:after="0" w:line="240" w:lineRule="auto"/>
              <w:rPr>
                <w:sz w:val="18"/>
                <w:szCs w:val="18"/>
              </w:rPr>
            </w:pPr>
            <w:r w:rsidRPr="00AF43B7">
              <w:rPr>
                <w:sz w:val="18"/>
                <w:szCs w:val="18"/>
              </w:rPr>
              <w:t xml:space="preserve">Treatment services reimbursable under </w:t>
            </w:r>
            <w:hyperlink r:id="rId7" w:history="1">
              <w:r w:rsidRPr="00AF43B7">
                <w:rPr>
                  <w:rStyle w:val="Hyperlink"/>
                  <w:sz w:val="18"/>
                  <w:szCs w:val="18"/>
                </w:rPr>
                <w:t>COMAR 10.09.08</w:t>
              </w:r>
            </w:hyperlink>
            <w:r w:rsidRPr="00AF43B7">
              <w:rPr>
                <w:sz w:val="18"/>
                <w:szCs w:val="18"/>
              </w:rPr>
              <w:t xml:space="preserve"> and are billable to 3</w:t>
            </w:r>
            <w:r w:rsidRPr="00AF43B7">
              <w:rPr>
                <w:sz w:val="18"/>
                <w:szCs w:val="18"/>
                <w:vertAlign w:val="superscript"/>
              </w:rPr>
              <w:t>rd</w:t>
            </w:r>
            <w:r w:rsidRPr="00AF43B7">
              <w:rPr>
                <w:sz w:val="18"/>
                <w:szCs w:val="18"/>
              </w:rPr>
              <w:t xml:space="preserve"> party payers, are not chargeable to private pay clients</w:t>
            </w:r>
            <w:r w:rsidR="007B153C" w:rsidRPr="00AF43B7">
              <w:rPr>
                <w:sz w:val="18"/>
                <w:szCs w:val="18"/>
              </w:rPr>
              <w:t>.</w:t>
            </w:r>
          </w:p>
        </w:tc>
      </w:tr>
    </w:tbl>
    <w:p w14:paraId="5701C26F" w14:textId="77777777" w:rsidR="00593CF9" w:rsidRPr="00AF43B7" w:rsidRDefault="00593CF9" w:rsidP="00593CF9">
      <w:pPr>
        <w:spacing w:after="0" w:line="240" w:lineRule="auto"/>
        <w:rPr>
          <w:sz w:val="24"/>
          <w:szCs w:val="24"/>
        </w:rPr>
      </w:pPr>
    </w:p>
    <w:p w14:paraId="798CFF3A" w14:textId="77777777" w:rsidR="00EA6CE1" w:rsidRPr="00AF43B7" w:rsidRDefault="00EA6CE1" w:rsidP="00593CF9">
      <w:pPr>
        <w:spacing w:after="0" w:line="240" w:lineRule="auto"/>
        <w:rPr>
          <w:i/>
          <w:color w:val="FF0000"/>
          <w:sz w:val="24"/>
          <w:szCs w:val="24"/>
        </w:rPr>
      </w:pPr>
      <w:r w:rsidRPr="00AF43B7">
        <w:rPr>
          <w:b/>
          <w:sz w:val="28"/>
          <w:szCs w:val="28"/>
        </w:rPr>
        <w:t>Developmental Disabilities Services</w:t>
      </w:r>
      <w:r w:rsidR="00191B07" w:rsidRPr="00AF43B7">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5850"/>
      </w:tblGrid>
      <w:tr w:rsidR="00947F41" w:rsidRPr="00AF43B7" w14:paraId="71DCE2B1" w14:textId="4D3DEF0F" w:rsidTr="00AF43B7">
        <w:tc>
          <w:tcPr>
            <w:tcW w:w="4855" w:type="dxa"/>
            <w:shd w:val="clear" w:color="auto" w:fill="auto"/>
          </w:tcPr>
          <w:p w14:paraId="31284B48" w14:textId="77777777" w:rsidR="0039226F" w:rsidRPr="00AF43B7" w:rsidRDefault="0039226F" w:rsidP="00834E86">
            <w:pPr>
              <w:spacing w:after="0" w:line="240" w:lineRule="auto"/>
              <w:rPr>
                <w:i/>
                <w:color w:val="FF0000"/>
                <w:sz w:val="24"/>
                <w:szCs w:val="24"/>
              </w:rPr>
            </w:pPr>
            <w:r w:rsidRPr="00AF43B7">
              <w:rPr>
                <w:sz w:val="24"/>
                <w:szCs w:val="24"/>
              </w:rPr>
              <w:t>Court-Ordered Examinations</w:t>
            </w:r>
            <w:r w:rsidR="00191B07" w:rsidRPr="00AF43B7">
              <w:rPr>
                <w:sz w:val="24"/>
                <w:szCs w:val="24"/>
              </w:rPr>
              <w:t xml:space="preserve">  </w:t>
            </w:r>
          </w:p>
        </w:tc>
        <w:tc>
          <w:tcPr>
            <w:tcW w:w="5850" w:type="dxa"/>
            <w:shd w:val="clear" w:color="auto" w:fill="auto"/>
          </w:tcPr>
          <w:p w14:paraId="5C08F9D9" w14:textId="1FBFF587" w:rsidR="00947F41" w:rsidRPr="00AF43B7" w:rsidRDefault="007B153C">
            <w:pPr>
              <w:spacing w:after="0" w:line="240" w:lineRule="auto"/>
              <w:rPr>
                <w:sz w:val="18"/>
                <w:szCs w:val="18"/>
              </w:rPr>
            </w:pPr>
            <w:r w:rsidRPr="00AF43B7">
              <w:rPr>
                <w:rFonts w:ascii="Arial" w:hAnsi="Arial" w:cs="Arial"/>
                <w:sz w:val="18"/>
                <w:szCs w:val="18"/>
              </w:rPr>
              <w:t xml:space="preserve">Court-ordered examinations as described in </w:t>
            </w:r>
            <w:hyperlink r:id="rId8" w:history="1">
              <w:r w:rsidRPr="00AF43B7">
                <w:rPr>
                  <w:rStyle w:val="Hyperlink"/>
                  <w:rFonts w:ascii="Arial" w:hAnsi="Arial" w:cs="Arial"/>
                  <w:sz w:val="18"/>
                  <w:szCs w:val="18"/>
                </w:rPr>
                <w:t>Health General 16-406</w:t>
              </w:r>
            </w:hyperlink>
          </w:p>
        </w:tc>
      </w:tr>
    </w:tbl>
    <w:p w14:paraId="41F1A2D3" w14:textId="77777777" w:rsidR="00EA6CE1" w:rsidRPr="00AF43B7" w:rsidRDefault="00EA6CE1" w:rsidP="00593CF9">
      <w:pPr>
        <w:spacing w:after="0" w:line="240" w:lineRule="auto"/>
        <w:rPr>
          <w:b/>
          <w:sz w:val="24"/>
          <w:szCs w:val="24"/>
        </w:rPr>
      </w:pPr>
    </w:p>
    <w:p w14:paraId="6E0062AC" w14:textId="77777777" w:rsidR="00DD4274" w:rsidRPr="00AF43B7" w:rsidRDefault="00DD4274" w:rsidP="00593CF9">
      <w:pPr>
        <w:spacing w:after="0" w:line="240" w:lineRule="auto"/>
        <w:rPr>
          <w:i/>
          <w:color w:val="FF0000"/>
          <w:sz w:val="24"/>
          <w:szCs w:val="24"/>
        </w:rPr>
      </w:pPr>
      <w:r w:rsidRPr="00AF43B7">
        <w:rPr>
          <w:b/>
          <w:sz w:val="28"/>
          <w:szCs w:val="28"/>
        </w:rPr>
        <w:t>Environmental/Laboratory Testing Services</w:t>
      </w:r>
      <w:r w:rsidR="00191B07" w:rsidRPr="00AF43B7">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5850"/>
      </w:tblGrid>
      <w:tr w:rsidR="00947F41" w:rsidRPr="00AF43B7" w14:paraId="7E67B055" w14:textId="5F65ED25" w:rsidTr="00AF43B7">
        <w:tc>
          <w:tcPr>
            <w:tcW w:w="4855" w:type="dxa"/>
            <w:shd w:val="clear" w:color="auto" w:fill="auto"/>
          </w:tcPr>
          <w:p w14:paraId="1FD66183" w14:textId="77777777" w:rsidR="0039226F" w:rsidRPr="00AF43B7" w:rsidRDefault="00281149" w:rsidP="00834E86">
            <w:pPr>
              <w:spacing w:after="0" w:line="240" w:lineRule="auto"/>
              <w:rPr>
                <w:rFonts w:cs="Calibri"/>
                <w:i/>
                <w:color w:val="FF0000"/>
                <w:sz w:val="24"/>
                <w:szCs w:val="24"/>
              </w:rPr>
            </w:pPr>
            <w:r w:rsidRPr="00AF43B7">
              <w:rPr>
                <w:rFonts w:cs="Calibri"/>
                <w:color w:val="222222"/>
                <w:sz w:val="24"/>
                <w:szCs w:val="24"/>
                <w:shd w:val="clear" w:color="auto" w:fill="FFFFFF"/>
              </w:rPr>
              <w:t xml:space="preserve">Environmental </w:t>
            </w:r>
            <w:r w:rsidR="005C26EA" w:rsidRPr="00AF43B7">
              <w:rPr>
                <w:rFonts w:cs="Calibri"/>
                <w:color w:val="222222"/>
                <w:sz w:val="24"/>
                <w:szCs w:val="24"/>
                <w:shd w:val="clear" w:color="auto" w:fill="FFFFFF"/>
              </w:rPr>
              <w:t xml:space="preserve">and laboratory </w:t>
            </w:r>
            <w:r w:rsidRPr="00AF43B7">
              <w:rPr>
                <w:rFonts w:cs="Calibri"/>
                <w:color w:val="222222"/>
                <w:sz w:val="24"/>
                <w:szCs w:val="24"/>
                <w:shd w:val="clear" w:color="auto" w:fill="FFFFFF"/>
              </w:rPr>
              <w:t>testing and water supply analysis as part of an infectious disease and environmental hazard examination.</w:t>
            </w:r>
            <w:r w:rsidR="00191B07" w:rsidRPr="00AF43B7">
              <w:rPr>
                <w:rFonts w:cs="Calibri"/>
                <w:color w:val="222222"/>
                <w:sz w:val="24"/>
                <w:szCs w:val="24"/>
                <w:shd w:val="clear" w:color="auto" w:fill="FFFFFF"/>
              </w:rPr>
              <w:t xml:space="preserve">  </w:t>
            </w:r>
          </w:p>
        </w:tc>
        <w:tc>
          <w:tcPr>
            <w:tcW w:w="5850" w:type="dxa"/>
            <w:shd w:val="clear" w:color="auto" w:fill="auto"/>
          </w:tcPr>
          <w:p w14:paraId="5E01C572" w14:textId="1770F891" w:rsidR="007B153C" w:rsidRPr="00AF43B7" w:rsidRDefault="007B153C" w:rsidP="007B153C">
            <w:pPr>
              <w:spacing w:after="0" w:line="240" w:lineRule="auto"/>
              <w:rPr>
                <w:sz w:val="18"/>
                <w:szCs w:val="18"/>
              </w:rPr>
            </w:pPr>
            <w:r w:rsidRPr="00AF43B7">
              <w:rPr>
                <w:sz w:val="18"/>
                <w:szCs w:val="18"/>
              </w:rPr>
              <w:t xml:space="preserve">An examination or analysis of a water supply is non-chargeable except for testing associated with water supplies related to; 1) Real Estate Transaction, </w:t>
            </w:r>
          </w:p>
          <w:p w14:paraId="6685E0F6" w14:textId="77777777" w:rsidR="007B153C" w:rsidRPr="00AF43B7" w:rsidRDefault="007B153C" w:rsidP="007B153C">
            <w:pPr>
              <w:spacing w:after="0" w:line="240" w:lineRule="auto"/>
              <w:rPr>
                <w:sz w:val="18"/>
                <w:szCs w:val="18"/>
              </w:rPr>
            </w:pPr>
            <w:r w:rsidRPr="00AF43B7">
              <w:rPr>
                <w:sz w:val="18"/>
                <w:szCs w:val="18"/>
              </w:rPr>
              <w:t xml:space="preserve">2) Day Care Facilities.  </w:t>
            </w:r>
          </w:p>
          <w:p w14:paraId="52ED9C5F" w14:textId="77777777" w:rsidR="007B153C" w:rsidRPr="00AF43B7" w:rsidRDefault="007B153C" w:rsidP="007B153C">
            <w:pPr>
              <w:spacing w:after="0" w:line="240" w:lineRule="auto"/>
              <w:rPr>
                <w:sz w:val="18"/>
                <w:szCs w:val="18"/>
              </w:rPr>
            </w:pPr>
          </w:p>
          <w:p w14:paraId="6447932F" w14:textId="3914181B" w:rsidR="00947F41" w:rsidRPr="00AF43B7" w:rsidRDefault="007B153C" w:rsidP="007B153C">
            <w:pPr>
              <w:spacing w:after="0" w:line="240" w:lineRule="auto"/>
            </w:pPr>
            <w:r w:rsidRPr="00AF43B7">
              <w:rPr>
                <w:sz w:val="18"/>
                <w:szCs w:val="18"/>
              </w:rPr>
              <w:t>Testing as part of an infectious disease investigation</w:t>
            </w:r>
          </w:p>
        </w:tc>
      </w:tr>
    </w:tbl>
    <w:p w14:paraId="6AE4B399" w14:textId="77777777" w:rsidR="00DD4274" w:rsidRPr="00AF43B7" w:rsidRDefault="00DD4274" w:rsidP="00593CF9">
      <w:pPr>
        <w:spacing w:after="0" w:line="240" w:lineRule="auto"/>
        <w:rPr>
          <w:sz w:val="24"/>
          <w:szCs w:val="24"/>
        </w:rPr>
      </w:pPr>
    </w:p>
    <w:p w14:paraId="62CAE533" w14:textId="77777777" w:rsidR="007C6A55" w:rsidRPr="00AF43B7" w:rsidRDefault="007C6A55" w:rsidP="00593CF9">
      <w:pPr>
        <w:spacing w:after="0" w:line="240" w:lineRule="auto"/>
        <w:rPr>
          <w:i/>
          <w:color w:val="FF0000"/>
          <w:sz w:val="24"/>
          <w:szCs w:val="24"/>
        </w:rPr>
      </w:pPr>
      <w:r w:rsidRPr="00AF43B7">
        <w:rPr>
          <w:b/>
          <w:sz w:val="28"/>
          <w:szCs w:val="28"/>
        </w:rPr>
        <w:t>General</w:t>
      </w:r>
      <w:r w:rsidR="001E33EA" w:rsidRPr="00AF43B7">
        <w:rPr>
          <w:b/>
          <w:sz w:val="28"/>
          <w:szCs w:val="28"/>
        </w:rPr>
        <w:t>/Screening</w:t>
      </w:r>
      <w:r w:rsidRPr="00AF43B7">
        <w:rPr>
          <w:b/>
          <w:sz w:val="28"/>
          <w:szCs w:val="28"/>
        </w:rPr>
        <w:t xml:space="preserve"> Health Services</w:t>
      </w:r>
      <w:r w:rsidR="00191B07" w:rsidRPr="00AF43B7">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5760"/>
      </w:tblGrid>
      <w:tr w:rsidR="00947F41" w:rsidRPr="00AF43B7" w14:paraId="33AAFA4E" w14:textId="28E65DBF" w:rsidTr="00AF43B7">
        <w:tc>
          <w:tcPr>
            <w:tcW w:w="4855" w:type="dxa"/>
            <w:shd w:val="clear" w:color="auto" w:fill="auto"/>
          </w:tcPr>
          <w:p w14:paraId="1CC7AFAB" w14:textId="77777777" w:rsidR="00947F41" w:rsidRPr="00AF43B7" w:rsidRDefault="00947F41" w:rsidP="00834E86">
            <w:pPr>
              <w:spacing w:after="0" w:line="240" w:lineRule="auto"/>
              <w:rPr>
                <w:i/>
                <w:color w:val="FF0000"/>
                <w:sz w:val="24"/>
                <w:szCs w:val="24"/>
              </w:rPr>
            </w:pPr>
            <w:r w:rsidRPr="00AF43B7">
              <w:rPr>
                <w:sz w:val="24"/>
                <w:szCs w:val="24"/>
              </w:rPr>
              <w:t xml:space="preserve">Dental Screening  </w:t>
            </w:r>
          </w:p>
        </w:tc>
        <w:tc>
          <w:tcPr>
            <w:tcW w:w="5760" w:type="dxa"/>
            <w:shd w:val="clear" w:color="auto" w:fill="auto"/>
          </w:tcPr>
          <w:p w14:paraId="28A742E7" w14:textId="1F473233" w:rsidR="00947F41" w:rsidRPr="00AF43B7" w:rsidRDefault="003269B8" w:rsidP="003269B8">
            <w:pPr>
              <w:spacing w:after="0" w:line="240" w:lineRule="auto"/>
              <w:rPr>
                <w:sz w:val="18"/>
                <w:szCs w:val="18"/>
              </w:rPr>
            </w:pPr>
            <w:r w:rsidRPr="00AF43B7">
              <w:rPr>
                <w:sz w:val="18"/>
                <w:szCs w:val="18"/>
              </w:rPr>
              <w:t xml:space="preserve">Screening only (for cholesterol, dental, hearing, blood pressure, TB, scoliosis, vision) no other service provided and </w:t>
            </w:r>
            <w:proofErr w:type="gramStart"/>
            <w:r w:rsidRPr="00AF43B7">
              <w:rPr>
                <w:sz w:val="18"/>
                <w:szCs w:val="18"/>
              </w:rPr>
              <w:t>not</w:t>
            </w:r>
            <w:proofErr w:type="gramEnd"/>
            <w:r w:rsidRPr="00AF43B7">
              <w:rPr>
                <w:sz w:val="18"/>
                <w:szCs w:val="18"/>
              </w:rPr>
              <w:t xml:space="preserve"> part of the school health program are non-chargeable.</w:t>
            </w:r>
            <w:r w:rsidR="00A64BAE" w:rsidRPr="00AF43B7">
              <w:rPr>
                <w:sz w:val="18"/>
                <w:szCs w:val="18"/>
              </w:rPr>
              <w:t xml:space="preserve"> </w:t>
            </w:r>
            <w:r w:rsidR="001A1F35" w:rsidRPr="00AF43B7">
              <w:rPr>
                <w:sz w:val="18"/>
                <w:szCs w:val="18"/>
              </w:rPr>
              <w:t xml:space="preserve">Note: </w:t>
            </w:r>
            <w:r w:rsidR="00EB2619" w:rsidRPr="00AF43B7">
              <w:rPr>
                <w:sz w:val="18"/>
                <w:szCs w:val="18"/>
              </w:rPr>
              <w:t xml:space="preserve">this is about it being </w:t>
            </w:r>
            <w:r w:rsidR="001A1F35" w:rsidRPr="00AF43B7">
              <w:rPr>
                <w:sz w:val="18"/>
                <w:szCs w:val="18"/>
              </w:rPr>
              <w:t>non-chargeable only in school</w:t>
            </w:r>
            <w:r w:rsidR="009665DE" w:rsidRPr="00AF43B7">
              <w:rPr>
                <w:sz w:val="18"/>
                <w:szCs w:val="18"/>
              </w:rPr>
              <w:t xml:space="preserve"> health programs distinct from School Based Health Centers</w:t>
            </w:r>
            <w:r w:rsidR="00607443" w:rsidRPr="00AF43B7">
              <w:rPr>
                <w:sz w:val="18"/>
                <w:szCs w:val="18"/>
              </w:rPr>
              <w:t xml:space="preserve"> which can charge.</w:t>
            </w:r>
          </w:p>
        </w:tc>
      </w:tr>
      <w:tr w:rsidR="00947F41" w:rsidRPr="00AF43B7" w14:paraId="66C0593F" w14:textId="33BE5B94" w:rsidTr="00AF43B7">
        <w:tc>
          <w:tcPr>
            <w:tcW w:w="4855" w:type="dxa"/>
            <w:shd w:val="clear" w:color="auto" w:fill="auto"/>
          </w:tcPr>
          <w:p w14:paraId="41514B3E" w14:textId="77777777" w:rsidR="00947F41" w:rsidRPr="00AF43B7" w:rsidRDefault="00947F41" w:rsidP="00834E86">
            <w:pPr>
              <w:spacing w:after="0" w:line="240" w:lineRule="auto"/>
              <w:rPr>
                <w:i/>
                <w:color w:val="FF0000"/>
                <w:sz w:val="24"/>
                <w:szCs w:val="24"/>
              </w:rPr>
            </w:pPr>
            <w:r w:rsidRPr="00AF43B7">
              <w:rPr>
                <w:sz w:val="24"/>
                <w:szCs w:val="24"/>
              </w:rPr>
              <w:t xml:space="preserve">Tobacco Cessation Programs  </w:t>
            </w:r>
          </w:p>
        </w:tc>
        <w:tc>
          <w:tcPr>
            <w:tcW w:w="5760" w:type="dxa"/>
            <w:shd w:val="clear" w:color="auto" w:fill="auto"/>
          </w:tcPr>
          <w:p w14:paraId="28CC176E" w14:textId="70F9298E" w:rsidR="00947F41" w:rsidRPr="00AF43B7" w:rsidRDefault="001B0D77">
            <w:pPr>
              <w:spacing w:after="0" w:line="240" w:lineRule="auto"/>
              <w:rPr>
                <w:sz w:val="18"/>
                <w:szCs w:val="18"/>
              </w:rPr>
            </w:pPr>
            <w:r w:rsidRPr="00AF43B7">
              <w:rPr>
                <w:sz w:val="18"/>
                <w:szCs w:val="18"/>
              </w:rPr>
              <w:t>In non-clinical settings</w:t>
            </w:r>
          </w:p>
        </w:tc>
      </w:tr>
    </w:tbl>
    <w:p w14:paraId="7C2CA9EA" w14:textId="77777777" w:rsidR="007C6A55" w:rsidRPr="00AF43B7" w:rsidRDefault="007C6A55" w:rsidP="00593CF9">
      <w:pPr>
        <w:spacing w:after="0" w:line="240" w:lineRule="auto"/>
        <w:rPr>
          <w:sz w:val="24"/>
          <w:szCs w:val="24"/>
        </w:rPr>
      </w:pPr>
    </w:p>
    <w:p w14:paraId="587F62A7" w14:textId="77777777" w:rsidR="007C6A55" w:rsidRPr="00AF43B7" w:rsidRDefault="007C6A55" w:rsidP="00593CF9">
      <w:pPr>
        <w:spacing w:after="0" w:line="240" w:lineRule="auto"/>
        <w:rPr>
          <w:b/>
          <w:sz w:val="28"/>
          <w:szCs w:val="28"/>
        </w:rPr>
      </w:pPr>
      <w:r w:rsidRPr="00AF43B7">
        <w:rPr>
          <w:b/>
          <w:sz w:val="28"/>
          <w:szCs w:val="28"/>
        </w:rPr>
        <w:t>Infectious Disease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5760"/>
      </w:tblGrid>
      <w:tr w:rsidR="00947F41" w:rsidRPr="00AF43B7" w14:paraId="3EB4058D" w14:textId="2BA43319" w:rsidTr="00AF43B7">
        <w:tc>
          <w:tcPr>
            <w:tcW w:w="4855" w:type="dxa"/>
            <w:shd w:val="clear" w:color="auto" w:fill="auto"/>
          </w:tcPr>
          <w:p w14:paraId="29F88932" w14:textId="77777777" w:rsidR="00947F41" w:rsidRPr="00AF43B7" w:rsidRDefault="00947F41" w:rsidP="00834E86">
            <w:pPr>
              <w:spacing w:after="0" w:line="240" w:lineRule="auto"/>
              <w:rPr>
                <w:i/>
                <w:color w:val="FF0000"/>
                <w:sz w:val="24"/>
                <w:szCs w:val="24"/>
              </w:rPr>
            </w:pPr>
            <w:r w:rsidRPr="00AF43B7">
              <w:rPr>
                <w:sz w:val="24"/>
                <w:szCs w:val="24"/>
              </w:rPr>
              <w:t xml:space="preserve">HIV/AIDS Counseling and Testing  </w:t>
            </w:r>
          </w:p>
        </w:tc>
        <w:tc>
          <w:tcPr>
            <w:tcW w:w="5760" w:type="dxa"/>
            <w:shd w:val="clear" w:color="auto" w:fill="auto"/>
          </w:tcPr>
          <w:p w14:paraId="5549034C" w14:textId="5A70A0CC" w:rsidR="00947F41" w:rsidRPr="00AF43B7" w:rsidRDefault="00041C23">
            <w:pPr>
              <w:spacing w:after="0" w:line="240" w:lineRule="auto"/>
              <w:rPr>
                <w:sz w:val="18"/>
                <w:szCs w:val="18"/>
              </w:rPr>
            </w:pPr>
            <w:r w:rsidRPr="00AF43B7">
              <w:rPr>
                <w:sz w:val="18"/>
                <w:szCs w:val="18"/>
              </w:rPr>
              <w:t>When performed out in the field/community</w:t>
            </w:r>
            <w:r w:rsidR="0050268F" w:rsidRPr="00AF43B7">
              <w:rPr>
                <w:sz w:val="18"/>
                <w:szCs w:val="18"/>
              </w:rPr>
              <w:t xml:space="preserve"> </w:t>
            </w:r>
            <w:r w:rsidR="00737F10" w:rsidRPr="00AF43B7">
              <w:rPr>
                <w:sz w:val="18"/>
                <w:szCs w:val="18"/>
              </w:rPr>
              <w:t>or is a standalone service of LHD not associated with other medical services</w:t>
            </w:r>
            <w:r w:rsidR="00E7388E" w:rsidRPr="00AF43B7">
              <w:rPr>
                <w:sz w:val="18"/>
                <w:szCs w:val="18"/>
              </w:rPr>
              <w:t xml:space="preserve"> or clinical care.</w:t>
            </w:r>
          </w:p>
        </w:tc>
      </w:tr>
      <w:tr w:rsidR="00947F41" w:rsidRPr="00AF43B7" w14:paraId="5F5097E1" w14:textId="6D1063CE" w:rsidTr="00AF43B7">
        <w:tc>
          <w:tcPr>
            <w:tcW w:w="4855" w:type="dxa"/>
            <w:shd w:val="clear" w:color="auto" w:fill="auto"/>
          </w:tcPr>
          <w:p w14:paraId="1B45C984" w14:textId="3FB0880F" w:rsidR="00947F41" w:rsidRPr="00AF43B7" w:rsidRDefault="00947F41" w:rsidP="00ED198B">
            <w:pPr>
              <w:spacing w:after="0" w:line="240" w:lineRule="auto"/>
              <w:rPr>
                <w:sz w:val="24"/>
                <w:szCs w:val="24"/>
              </w:rPr>
            </w:pPr>
            <w:r w:rsidRPr="00AF43B7">
              <w:rPr>
                <w:sz w:val="24"/>
                <w:szCs w:val="24"/>
              </w:rPr>
              <w:t>STI Diagnosis and Treatment for individuals ˂19 years of age</w:t>
            </w:r>
          </w:p>
        </w:tc>
        <w:tc>
          <w:tcPr>
            <w:tcW w:w="5760" w:type="dxa"/>
            <w:shd w:val="clear" w:color="auto" w:fill="auto"/>
          </w:tcPr>
          <w:p w14:paraId="28D1D6F0" w14:textId="3630E114" w:rsidR="00947F41" w:rsidRPr="00AF43B7" w:rsidRDefault="003269B8">
            <w:pPr>
              <w:spacing w:after="0" w:line="240" w:lineRule="auto"/>
              <w:rPr>
                <w:sz w:val="18"/>
                <w:szCs w:val="18"/>
              </w:rPr>
            </w:pPr>
            <w:r w:rsidRPr="00AF43B7">
              <w:rPr>
                <w:sz w:val="18"/>
                <w:szCs w:val="18"/>
              </w:rPr>
              <w:t>There are no charges for clinic visit related to diagnosis, treatment and prevention of STIs.</w:t>
            </w:r>
          </w:p>
        </w:tc>
      </w:tr>
      <w:tr w:rsidR="00947F41" w:rsidRPr="00AF43B7" w14:paraId="67041104" w14:textId="152F8DD5" w:rsidTr="00AF43B7">
        <w:tc>
          <w:tcPr>
            <w:tcW w:w="4855" w:type="dxa"/>
            <w:shd w:val="clear" w:color="auto" w:fill="auto"/>
          </w:tcPr>
          <w:p w14:paraId="31DF8528" w14:textId="77777777" w:rsidR="00947F41" w:rsidRPr="00AF43B7" w:rsidRDefault="00947F41" w:rsidP="00834E86">
            <w:pPr>
              <w:spacing w:after="0" w:line="240" w:lineRule="auto"/>
              <w:rPr>
                <w:i/>
                <w:color w:val="FF0000"/>
                <w:sz w:val="24"/>
                <w:szCs w:val="24"/>
              </w:rPr>
            </w:pPr>
            <w:r w:rsidRPr="00AF43B7">
              <w:rPr>
                <w:sz w:val="24"/>
                <w:szCs w:val="24"/>
              </w:rPr>
              <w:t xml:space="preserve">STI Outreach  </w:t>
            </w:r>
          </w:p>
        </w:tc>
        <w:tc>
          <w:tcPr>
            <w:tcW w:w="5760" w:type="dxa"/>
            <w:shd w:val="clear" w:color="auto" w:fill="auto"/>
          </w:tcPr>
          <w:p w14:paraId="5C60D348" w14:textId="1BC5F4FC" w:rsidR="00947F41" w:rsidRPr="00AF43B7" w:rsidRDefault="003269B8">
            <w:pPr>
              <w:spacing w:after="0" w:line="240" w:lineRule="auto"/>
              <w:rPr>
                <w:sz w:val="18"/>
                <w:szCs w:val="18"/>
              </w:rPr>
            </w:pPr>
            <w:r w:rsidRPr="00AF43B7">
              <w:rPr>
                <w:sz w:val="18"/>
                <w:szCs w:val="18"/>
              </w:rPr>
              <w:t>There is no charge for STI outreach activities.</w:t>
            </w:r>
            <w:r w:rsidR="00E7388E" w:rsidRPr="00AF43B7">
              <w:rPr>
                <w:sz w:val="18"/>
                <w:szCs w:val="18"/>
              </w:rPr>
              <w:t xml:space="preserve"> When performed out in the field/community or is a standalone service of LHD not associated with other medical services or clinical care</w:t>
            </w:r>
            <w:r w:rsidR="00511B02" w:rsidRPr="00AF43B7">
              <w:rPr>
                <w:sz w:val="18"/>
                <w:szCs w:val="18"/>
              </w:rPr>
              <w:t xml:space="preserve">, for example Disease Intervention Specialist services. </w:t>
            </w:r>
          </w:p>
        </w:tc>
      </w:tr>
      <w:tr w:rsidR="00947F41" w:rsidRPr="00AF43B7" w14:paraId="0420BD01" w14:textId="0996661F" w:rsidTr="00AF43B7">
        <w:tc>
          <w:tcPr>
            <w:tcW w:w="4855" w:type="dxa"/>
            <w:shd w:val="clear" w:color="auto" w:fill="auto"/>
          </w:tcPr>
          <w:p w14:paraId="220DBD37" w14:textId="77777777" w:rsidR="00947F41" w:rsidRPr="00AF43B7" w:rsidRDefault="00947F41" w:rsidP="00834E86">
            <w:pPr>
              <w:spacing w:after="0" w:line="240" w:lineRule="auto"/>
              <w:rPr>
                <w:i/>
                <w:color w:val="FF0000"/>
                <w:sz w:val="24"/>
                <w:szCs w:val="24"/>
              </w:rPr>
            </w:pPr>
            <w:r w:rsidRPr="00AF43B7">
              <w:rPr>
                <w:sz w:val="24"/>
                <w:szCs w:val="24"/>
              </w:rPr>
              <w:t xml:space="preserve">TB Diagnosis and Treatment </w:t>
            </w:r>
          </w:p>
        </w:tc>
        <w:tc>
          <w:tcPr>
            <w:tcW w:w="5760" w:type="dxa"/>
            <w:shd w:val="clear" w:color="auto" w:fill="auto"/>
          </w:tcPr>
          <w:p w14:paraId="69D87B7E" w14:textId="423C3D96" w:rsidR="00947F41" w:rsidRPr="00AF43B7" w:rsidRDefault="003269B8">
            <w:pPr>
              <w:spacing w:after="0" w:line="240" w:lineRule="auto"/>
              <w:rPr>
                <w:sz w:val="18"/>
                <w:szCs w:val="18"/>
              </w:rPr>
            </w:pPr>
            <w:r w:rsidRPr="00AF43B7">
              <w:rPr>
                <w:sz w:val="18"/>
                <w:szCs w:val="18"/>
              </w:rPr>
              <w:t>No charge for clinic or field visit related to diagnosis and treatment (includes TB drugs, lab tests, chest x-rays and TB tests) of active TB or latent TB infection in TB contacts.</w:t>
            </w:r>
          </w:p>
        </w:tc>
      </w:tr>
      <w:tr w:rsidR="00947F41" w:rsidRPr="00AF43B7" w14:paraId="408DE355" w14:textId="31066E83" w:rsidTr="00AF43B7">
        <w:tc>
          <w:tcPr>
            <w:tcW w:w="4855" w:type="dxa"/>
            <w:shd w:val="clear" w:color="auto" w:fill="auto"/>
          </w:tcPr>
          <w:p w14:paraId="76FF708E" w14:textId="77777777" w:rsidR="00947F41" w:rsidRPr="00AF43B7" w:rsidRDefault="00947F41" w:rsidP="00834E86">
            <w:pPr>
              <w:spacing w:after="0" w:line="240" w:lineRule="auto"/>
              <w:rPr>
                <w:i/>
                <w:color w:val="FF0000"/>
                <w:sz w:val="24"/>
                <w:szCs w:val="24"/>
              </w:rPr>
            </w:pPr>
            <w:r w:rsidRPr="00AF43B7">
              <w:rPr>
                <w:sz w:val="24"/>
                <w:szCs w:val="24"/>
              </w:rPr>
              <w:t xml:space="preserve">Infectious Disease Testing  </w:t>
            </w:r>
          </w:p>
        </w:tc>
        <w:tc>
          <w:tcPr>
            <w:tcW w:w="5760" w:type="dxa"/>
            <w:shd w:val="clear" w:color="auto" w:fill="auto"/>
          </w:tcPr>
          <w:p w14:paraId="5ECA53FB" w14:textId="05AB00A2" w:rsidR="00947F41" w:rsidRPr="00AF43B7" w:rsidRDefault="003269B8">
            <w:pPr>
              <w:spacing w:after="0" w:line="240" w:lineRule="auto"/>
              <w:rPr>
                <w:sz w:val="18"/>
                <w:szCs w:val="18"/>
              </w:rPr>
            </w:pPr>
            <w:r w:rsidRPr="00AF43B7">
              <w:rPr>
                <w:sz w:val="18"/>
                <w:szCs w:val="18"/>
              </w:rPr>
              <w:t xml:space="preserve">Testing done </w:t>
            </w:r>
            <w:proofErr w:type="gramStart"/>
            <w:r w:rsidRPr="00AF43B7">
              <w:rPr>
                <w:sz w:val="18"/>
                <w:szCs w:val="18"/>
              </w:rPr>
              <w:t>in the course of</w:t>
            </w:r>
            <w:proofErr w:type="gramEnd"/>
            <w:r w:rsidRPr="00AF43B7">
              <w:rPr>
                <w:sz w:val="18"/>
                <w:szCs w:val="18"/>
              </w:rPr>
              <w:t xml:space="preserve"> outbreak investigation.</w:t>
            </w:r>
          </w:p>
        </w:tc>
      </w:tr>
    </w:tbl>
    <w:p w14:paraId="1E571583" w14:textId="77777777" w:rsidR="007C6A55" w:rsidRPr="00AF43B7" w:rsidRDefault="007C6A55" w:rsidP="00593CF9">
      <w:pPr>
        <w:spacing w:after="0" w:line="240" w:lineRule="auto"/>
        <w:rPr>
          <w:sz w:val="24"/>
          <w:szCs w:val="24"/>
        </w:rPr>
      </w:pPr>
    </w:p>
    <w:p w14:paraId="0DE11012" w14:textId="77777777" w:rsidR="007C6A55" w:rsidRPr="00AF43B7" w:rsidRDefault="007C6A55" w:rsidP="00593CF9">
      <w:pPr>
        <w:spacing w:after="0" w:line="240" w:lineRule="auto"/>
        <w:rPr>
          <w:sz w:val="24"/>
          <w:szCs w:val="24"/>
        </w:rPr>
      </w:pPr>
      <w:r w:rsidRPr="00AF43B7">
        <w:rPr>
          <w:b/>
          <w:sz w:val="28"/>
          <w:szCs w:val="28"/>
        </w:rPr>
        <w:t>Immunization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5760"/>
      </w:tblGrid>
      <w:tr w:rsidR="00947F41" w:rsidRPr="00AF43B7" w14:paraId="3640D548" w14:textId="4BD01BC2" w:rsidTr="00AF43B7">
        <w:tc>
          <w:tcPr>
            <w:tcW w:w="4855" w:type="dxa"/>
            <w:shd w:val="clear" w:color="auto" w:fill="auto"/>
          </w:tcPr>
          <w:p w14:paraId="0E322EFA" w14:textId="77777777" w:rsidR="00947F41" w:rsidRPr="00AF43B7" w:rsidRDefault="00947F41" w:rsidP="00834E86">
            <w:pPr>
              <w:spacing w:after="0" w:line="240" w:lineRule="auto"/>
              <w:rPr>
                <w:i/>
                <w:color w:val="FF0000"/>
                <w:sz w:val="24"/>
                <w:szCs w:val="24"/>
              </w:rPr>
            </w:pPr>
            <w:r w:rsidRPr="00AF43B7">
              <w:rPr>
                <w:sz w:val="24"/>
                <w:szCs w:val="24"/>
              </w:rPr>
              <w:t xml:space="preserve">Immunization Record Review  </w:t>
            </w:r>
          </w:p>
        </w:tc>
        <w:tc>
          <w:tcPr>
            <w:tcW w:w="5760" w:type="dxa"/>
            <w:shd w:val="clear" w:color="auto" w:fill="auto"/>
          </w:tcPr>
          <w:p w14:paraId="09C5B925" w14:textId="77777777" w:rsidR="00947F41" w:rsidRPr="00AF43B7" w:rsidRDefault="00947F41">
            <w:pPr>
              <w:spacing w:after="0" w:line="240" w:lineRule="auto"/>
            </w:pPr>
          </w:p>
        </w:tc>
      </w:tr>
      <w:tr w:rsidR="00947F41" w:rsidRPr="00AF43B7" w14:paraId="56A1F69E" w14:textId="015C87DA" w:rsidTr="00AF43B7">
        <w:tc>
          <w:tcPr>
            <w:tcW w:w="4855" w:type="dxa"/>
            <w:shd w:val="clear" w:color="auto" w:fill="auto"/>
          </w:tcPr>
          <w:p w14:paraId="7043084A" w14:textId="77777777" w:rsidR="00947F41" w:rsidRPr="00AF43B7" w:rsidRDefault="00947F41" w:rsidP="00834E86">
            <w:pPr>
              <w:spacing w:after="0" w:line="240" w:lineRule="auto"/>
              <w:rPr>
                <w:i/>
                <w:color w:val="FF0000"/>
                <w:sz w:val="24"/>
                <w:szCs w:val="24"/>
              </w:rPr>
            </w:pPr>
            <w:r w:rsidRPr="00AF43B7">
              <w:rPr>
                <w:sz w:val="24"/>
                <w:szCs w:val="24"/>
              </w:rPr>
              <w:t xml:space="preserve">Emergency Preparedness – Screening for and administration of immunizations for traditional and other emergency responders during a local or state public health emergency event.   </w:t>
            </w:r>
          </w:p>
        </w:tc>
        <w:tc>
          <w:tcPr>
            <w:tcW w:w="5760" w:type="dxa"/>
            <w:shd w:val="clear" w:color="auto" w:fill="auto"/>
          </w:tcPr>
          <w:p w14:paraId="55D46DA4" w14:textId="2996E29A" w:rsidR="00947F41" w:rsidRPr="00AF43B7" w:rsidRDefault="007B153C" w:rsidP="007B153C">
            <w:pPr>
              <w:spacing w:after="0" w:line="240" w:lineRule="auto"/>
              <w:rPr>
                <w:sz w:val="18"/>
                <w:szCs w:val="18"/>
              </w:rPr>
            </w:pPr>
            <w:r w:rsidRPr="00AF43B7">
              <w:rPr>
                <w:sz w:val="18"/>
                <w:szCs w:val="18"/>
              </w:rPr>
              <w:t>Screening for vaccination and subsequent vaccinations provided at no cost to traditional and other emergency responders.</w:t>
            </w:r>
          </w:p>
        </w:tc>
      </w:tr>
    </w:tbl>
    <w:p w14:paraId="1E7EEF6E" w14:textId="77777777" w:rsidR="00882CF1" w:rsidRDefault="00882CF1" w:rsidP="00D14BFB">
      <w:pPr>
        <w:spacing w:after="0" w:line="240" w:lineRule="auto"/>
        <w:rPr>
          <w:i/>
          <w:color w:val="FF0000"/>
          <w:sz w:val="24"/>
          <w:szCs w:val="24"/>
        </w:rPr>
      </w:pPr>
    </w:p>
    <w:p w14:paraId="24C18C72" w14:textId="188FE7A3" w:rsidR="00AF43B7" w:rsidRPr="00AF43B7" w:rsidRDefault="00AF43B7" w:rsidP="00D14BFB">
      <w:pPr>
        <w:spacing w:after="0" w:line="240" w:lineRule="auto"/>
        <w:rPr>
          <w:i/>
          <w:color w:val="FF0000"/>
          <w:sz w:val="24"/>
          <w:szCs w:val="24"/>
        </w:rPr>
      </w:pPr>
    </w:p>
    <w:p w14:paraId="06B4153F" w14:textId="77777777" w:rsidR="00B60157" w:rsidRPr="00AF43B7" w:rsidRDefault="00B60157" w:rsidP="00593CF9">
      <w:pPr>
        <w:spacing w:after="0" w:line="240" w:lineRule="auto"/>
        <w:rPr>
          <w:i/>
          <w:color w:val="FF0000"/>
          <w:sz w:val="28"/>
          <w:szCs w:val="28"/>
        </w:rPr>
      </w:pPr>
      <w:r w:rsidRPr="00AF43B7">
        <w:rPr>
          <w:b/>
          <w:sz w:val="28"/>
          <w:szCs w:val="28"/>
        </w:rPr>
        <w:lastRenderedPageBreak/>
        <w:t>Mental Health Services</w:t>
      </w:r>
      <w:r w:rsidR="00191B07" w:rsidRPr="00AF43B7">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5850"/>
      </w:tblGrid>
      <w:tr w:rsidR="00947F41" w:rsidRPr="00AF43B7" w14:paraId="1F90F95F" w14:textId="0B3599B0" w:rsidTr="00AF43B7">
        <w:tc>
          <w:tcPr>
            <w:tcW w:w="4855" w:type="dxa"/>
            <w:shd w:val="clear" w:color="auto" w:fill="auto"/>
          </w:tcPr>
          <w:p w14:paraId="459FD3E6" w14:textId="77777777" w:rsidR="00947F41" w:rsidRPr="00AF43B7" w:rsidRDefault="00947F41" w:rsidP="00834E86">
            <w:pPr>
              <w:spacing w:after="0" w:line="240" w:lineRule="auto"/>
              <w:rPr>
                <w:i/>
                <w:color w:val="FF0000"/>
                <w:sz w:val="24"/>
                <w:szCs w:val="24"/>
              </w:rPr>
            </w:pPr>
            <w:r w:rsidRPr="00AF43B7">
              <w:rPr>
                <w:sz w:val="24"/>
                <w:szCs w:val="24"/>
              </w:rPr>
              <w:t xml:space="preserve">Court-Ordered Examinations  </w:t>
            </w:r>
          </w:p>
        </w:tc>
        <w:tc>
          <w:tcPr>
            <w:tcW w:w="5850" w:type="dxa"/>
            <w:shd w:val="clear" w:color="auto" w:fill="auto"/>
          </w:tcPr>
          <w:p w14:paraId="2255B621" w14:textId="7451B38E" w:rsidR="00947F41" w:rsidRPr="00AF43B7" w:rsidRDefault="003269B8">
            <w:pPr>
              <w:spacing w:after="0" w:line="240" w:lineRule="auto"/>
              <w:rPr>
                <w:sz w:val="18"/>
                <w:szCs w:val="18"/>
              </w:rPr>
            </w:pPr>
            <w:r w:rsidRPr="00AF43B7">
              <w:rPr>
                <w:sz w:val="18"/>
                <w:szCs w:val="18"/>
              </w:rPr>
              <w:t xml:space="preserve">Court-ordered examinations as described in </w:t>
            </w:r>
            <w:hyperlink r:id="rId9" w:history="1">
              <w:r w:rsidRPr="00AF43B7">
                <w:rPr>
                  <w:rStyle w:val="Hyperlink"/>
                  <w:sz w:val="18"/>
                  <w:szCs w:val="18"/>
                </w:rPr>
                <w:t>Health-General Article 16-302</w:t>
              </w:r>
            </w:hyperlink>
            <w:r w:rsidRPr="00AF43B7">
              <w:rPr>
                <w:sz w:val="18"/>
                <w:szCs w:val="18"/>
              </w:rPr>
              <w:t>.</w:t>
            </w:r>
            <w:r w:rsidR="00DB5421" w:rsidRPr="00AF43B7">
              <w:rPr>
                <w:sz w:val="18"/>
                <w:szCs w:val="18"/>
              </w:rPr>
              <w:t xml:space="preserve"> NOTE: If this impacts AOT services, then LHDs should not be expected to operate the program. </w:t>
            </w:r>
          </w:p>
        </w:tc>
      </w:tr>
      <w:tr w:rsidR="00947F41" w:rsidRPr="00AF43B7" w14:paraId="0BF885C2" w14:textId="4D38C483" w:rsidTr="00AF43B7">
        <w:tc>
          <w:tcPr>
            <w:tcW w:w="4855" w:type="dxa"/>
            <w:shd w:val="clear" w:color="auto" w:fill="auto"/>
          </w:tcPr>
          <w:p w14:paraId="17BB6AAF" w14:textId="77777777" w:rsidR="00947F41" w:rsidRPr="00AF43B7" w:rsidRDefault="00947F41" w:rsidP="00834E86">
            <w:pPr>
              <w:spacing w:after="0" w:line="240" w:lineRule="auto"/>
              <w:rPr>
                <w:i/>
                <w:color w:val="FF0000"/>
                <w:sz w:val="24"/>
                <w:szCs w:val="24"/>
              </w:rPr>
            </w:pPr>
            <w:r w:rsidRPr="00AF43B7">
              <w:rPr>
                <w:sz w:val="24"/>
                <w:szCs w:val="24"/>
              </w:rPr>
              <w:t xml:space="preserve">Hotline Services  </w:t>
            </w:r>
          </w:p>
        </w:tc>
        <w:tc>
          <w:tcPr>
            <w:tcW w:w="5850" w:type="dxa"/>
            <w:shd w:val="clear" w:color="auto" w:fill="auto"/>
          </w:tcPr>
          <w:p w14:paraId="15D7BC18" w14:textId="76D9EB80" w:rsidR="00947F41" w:rsidRPr="00AF43B7" w:rsidRDefault="003269B8">
            <w:pPr>
              <w:spacing w:after="0" w:line="240" w:lineRule="auto"/>
              <w:rPr>
                <w:sz w:val="18"/>
                <w:szCs w:val="18"/>
              </w:rPr>
            </w:pPr>
            <w:r w:rsidRPr="00AF43B7">
              <w:rPr>
                <w:sz w:val="18"/>
                <w:szCs w:val="18"/>
              </w:rPr>
              <w:t xml:space="preserve">Suicide prevention </w:t>
            </w:r>
            <w:proofErr w:type="gramStart"/>
            <w:r w:rsidRPr="00AF43B7">
              <w:rPr>
                <w:sz w:val="18"/>
                <w:szCs w:val="18"/>
              </w:rPr>
              <w:t>800 number</w:t>
            </w:r>
            <w:proofErr w:type="gramEnd"/>
            <w:r w:rsidRPr="00AF43B7">
              <w:rPr>
                <w:sz w:val="18"/>
                <w:szCs w:val="18"/>
              </w:rPr>
              <w:t xml:space="preserve"> calls.</w:t>
            </w:r>
          </w:p>
        </w:tc>
      </w:tr>
      <w:tr w:rsidR="00947F41" w:rsidRPr="00AF43B7" w14:paraId="46EAABF4" w14:textId="1057AAC8" w:rsidTr="00AF43B7">
        <w:tc>
          <w:tcPr>
            <w:tcW w:w="4855" w:type="dxa"/>
            <w:shd w:val="clear" w:color="auto" w:fill="auto"/>
          </w:tcPr>
          <w:p w14:paraId="58301035" w14:textId="77777777" w:rsidR="00947F41" w:rsidRPr="00AF43B7" w:rsidRDefault="00947F41" w:rsidP="00834E86">
            <w:pPr>
              <w:spacing w:after="0" w:line="240" w:lineRule="auto"/>
              <w:rPr>
                <w:i/>
                <w:color w:val="FF0000"/>
                <w:sz w:val="24"/>
                <w:szCs w:val="24"/>
              </w:rPr>
            </w:pPr>
            <w:r w:rsidRPr="00AF43B7">
              <w:rPr>
                <w:sz w:val="24"/>
                <w:szCs w:val="24"/>
              </w:rPr>
              <w:t xml:space="preserve">Peer Support Services  </w:t>
            </w:r>
          </w:p>
        </w:tc>
        <w:tc>
          <w:tcPr>
            <w:tcW w:w="5850" w:type="dxa"/>
            <w:shd w:val="clear" w:color="auto" w:fill="auto"/>
          </w:tcPr>
          <w:p w14:paraId="0E3F67C4" w14:textId="410EA5E1" w:rsidR="00947F41" w:rsidRPr="00AF43B7" w:rsidRDefault="00DB5421">
            <w:pPr>
              <w:spacing w:after="0" w:line="240" w:lineRule="auto"/>
              <w:rPr>
                <w:sz w:val="18"/>
                <w:szCs w:val="18"/>
              </w:rPr>
            </w:pPr>
            <w:r w:rsidRPr="00AF43B7">
              <w:rPr>
                <w:sz w:val="18"/>
                <w:szCs w:val="18"/>
              </w:rPr>
              <w:t xml:space="preserve">Clarifying that this is under mental health and is not apply to SUD peer support services. </w:t>
            </w:r>
          </w:p>
        </w:tc>
      </w:tr>
      <w:tr w:rsidR="00947F41" w:rsidRPr="00AF43B7" w14:paraId="53541C1E" w14:textId="317C8B04" w:rsidTr="00AF43B7">
        <w:tc>
          <w:tcPr>
            <w:tcW w:w="4855" w:type="dxa"/>
            <w:shd w:val="clear" w:color="auto" w:fill="auto"/>
          </w:tcPr>
          <w:p w14:paraId="33D37C4B" w14:textId="77777777" w:rsidR="00947F41" w:rsidRPr="00AF43B7" w:rsidRDefault="00947F41" w:rsidP="00834E86">
            <w:pPr>
              <w:spacing w:after="0" w:line="240" w:lineRule="auto"/>
              <w:rPr>
                <w:i/>
                <w:color w:val="FF0000"/>
                <w:sz w:val="24"/>
                <w:szCs w:val="24"/>
              </w:rPr>
            </w:pPr>
            <w:r w:rsidRPr="00AF43B7">
              <w:rPr>
                <w:sz w:val="24"/>
                <w:szCs w:val="24"/>
              </w:rPr>
              <w:t xml:space="preserve">In-Prison/Detention Centers Services  </w:t>
            </w:r>
          </w:p>
        </w:tc>
        <w:tc>
          <w:tcPr>
            <w:tcW w:w="5850" w:type="dxa"/>
            <w:shd w:val="clear" w:color="auto" w:fill="auto"/>
          </w:tcPr>
          <w:p w14:paraId="11EDF6DE" w14:textId="77777777" w:rsidR="00947F41" w:rsidRPr="00AF43B7" w:rsidRDefault="00947F41">
            <w:pPr>
              <w:spacing w:after="0" w:line="240" w:lineRule="auto"/>
              <w:rPr>
                <w:sz w:val="18"/>
                <w:szCs w:val="18"/>
              </w:rPr>
            </w:pPr>
          </w:p>
        </w:tc>
      </w:tr>
      <w:tr w:rsidR="00947F41" w:rsidRPr="00AF43B7" w14:paraId="6CA0DF50" w14:textId="71245107" w:rsidTr="00AF43B7">
        <w:tc>
          <w:tcPr>
            <w:tcW w:w="4855" w:type="dxa"/>
            <w:shd w:val="clear" w:color="auto" w:fill="auto"/>
          </w:tcPr>
          <w:p w14:paraId="5CC780B1" w14:textId="77777777" w:rsidR="00947F41" w:rsidRPr="00AF43B7" w:rsidRDefault="00947F41" w:rsidP="00834E86">
            <w:pPr>
              <w:spacing w:after="0" w:line="240" w:lineRule="auto"/>
              <w:rPr>
                <w:i/>
                <w:color w:val="FF0000"/>
                <w:sz w:val="24"/>
                <w:szCs w:val="24"/>
              </w:rPr>
            </w:pPr>
            <w:r w:rsidRPr="00AF43B7">
              <w:rPr>
                <w:sz w:val="24"/>
                <w:szCs w:val="24"/>
              </w:rPr>
              <w:t xml:space="preserve">Supported Employment Services  </w:t>
            </w:r>
          </w:p>
        </w:tc>
        <w:tc>
          <w:tcPr>
            <w:tcW w:w="5850" w:type="dxa"/>
            <w:shd w:val="clear" w:color="auto" w:fill="auto"/>
          </w:tcPr>
          <w:p w14:paraId="19456418" w14:textId="0BC58DAC" w:rsidR="00947F41" w:rsidRPr="00AF43B7" w:rsidRDefault="003269B8">
            <w:pPr>
              <w:spacing w:after="0" w:line="240" w:lineRule="auto"/>
              <w:rPr>
                <w:sz w:val="18"/>
                <w:szCs w:val="18"/>
              </w:rPr>
            </w:pPr>
            <w:r w:rsidRPr="00AF43B7">
              <w:rPr>
                <w:sz w:val="18"/>
                <w:szCs w:val="18"/>
              </w:rPr>
              <w:t>Services to assist clients in securing and maintaining employment.</w:t>
            </w:r>
          </w:p>
        </w:tc>
      </w:tr>
      <w:tr w:rsidR="00947F41" w:rsidRPr="00834E86" w14:paraId="1774906B" w14:textId="161DAB96" w:rsidTr="00AF43B7">
        <w:tc>
          <w:tcPr>
            <w:tcW w:w="4855" w:type="dxa"/>
            <w:shd w:val="clear" w:color="auto" w:fill="auto"/>
          </w:tcPr>
          <w:p w14:paraId="72A3F82B" w14:textId="77777777" w:rsidR="00947F41" w:rsidRPr="00AF43B7" w:rsidRDefault="00947F41" w:rsidP="00834E86">
            <w:pPr>
              <w:spacing w:after="0" w:line="240" w:lineRule="auto"/>
              <w:rPr>
                <w:i/>
                <w:color w:val="FF0000"/>
                <w:sz w:val="24"/>
                <w:szCs w:val="24"/>
              </w:rPr>
            </w:pPr>
            <w:r w:rsidRPr="00AF43B7">
              <w:rPr>
                <w:sz w:val="24"/>
                <w:szCs w:val="24"/>
              </w:rPr>
              <w:t xml:space="preserve">Mobile Crisis Services  </w:t>
            </w:r>
          </w:p>
        </w:tc>
        <w:tc>
          <w:tcPr>
            <w:tcW w:w="5850" w:type="dxa"/>
            <w:shd w:val="clear" w:color="auto" w:fill="auto"/>
          </w:tcPr>
          <w:p w14:paraId="0B4C5C2F" w14:textId="299F09DB" w:rsidR="00947F41" w:rsidRPr="00AF43B7" w:rsidRDefault="003269B8">
            <w:pPr>
              <w:spacing w:after="0" w:line="240" w:lineRule="auto"/>
              <w:rPr>
                <w:sz w:val="18"/>
                <w:szCs w:val="18"/>
              </w:rPr>
            </w:pPr>
            <w:r w:rsidRPr="00AF43B7">
              <w:rPr>
                <w:sz w:val="18"/>
                <w:szCs w:val="18"/>
              </w:rPr>
              <w:t xml:space="preserve">The service responds to individuals in acute psychiatric distress to                                                                              triage the individual’s crisis and provide immediate access </w:t>
            </w:r>
            <w:proofErr w:type="gramStart"/>
            <w:r w:rsidRPr="00AF43B7">
              <w:rPr>
                <w:sz w:val="18"/>
                <w:szCs w:val="18"/>
              </w:rPr>
              <w:t>to  psychiatric</w:t>
            </w:r>
            <w:proofErr w:type="gramEnd"/>
            <w:r w:rsidRPr="00AF43B7">
              <w:rPr>
                <w:sz w:val="18"/>
                <w:szCs w:val="18"/>
              </w:rPr>
              <w:t xml:space="preserve"> care.</w:t>
            </w:r>
          </w:p>
        </w:tc>
      </w:tr>
    </w:tbl>
    <w:p w14:paraId="6DD52A04" w14:textId="2D8F844E" w:rsidR="00AC4E5E" w:rsidRPr="007A41FD" w:rsidRDefault="00AC4E5E" w:rsidP="00AF43B7">
      <w:pPr>
        <w:spacing w:after="0" w:line="240" w:lineRule="auto"/>
        <w:rPr>
          <w:sz w:val="20"/>
          <w:szCs w:val="20"/>
        </w:rPr>
      </w:pPr>
    </w:p>
    <w:sectPr w:rsidR="00AC4E5E" w:rsidRPr="007A41FD" w:rsidSect="00947F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4762F"/>
    <w:multiLevelType w:val="hybridMultilevel"/>
    <w:tmpl w:val="74DC7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EEB525B"/>
    <w:multiLevelType w:val="hybridMultilevel"/>
    <w:tmpl w:val="F82E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6217684">
    <w:abstractNumId w:val="0"/>
  </w:num>
  <w:num w:numId="2" w16cid:durableId="863713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F9"/>
    <w:rsid w:val="00017C12"/>
    <w:rsid w:val="00020610"/>
    <w:rsid w:val="00027D62"/>
    <w:rsid w:val="00041C23"/>
    <w:rsid w:val="000567BC"/>
    <w:rsid w:val="000D2AFD"/>
    <w:rsid w:val="000D3803"/>
    <w:rsid w:val="000E2560"/>
    <w:rsid w:val="000E72F6"/>
    <w:rsid w:val="000F7FBB"/>
    <w:rsid w:val="00140CF7"/>
    <w:rsid w:val="0016748F"/>
    <w:rsid w:val="00175217"/>
    <w:rsid w:val="00186D03"/>
    <w:rsid w:val="00191B07"/>
    <w:rsid w:val="001A1F35"/>
    <w:rsid w:val="001B0D77"/>
    <w:rsid w:val="001B765C"/>
    <w:rsid w:val="001C6323"/>
    <w:rsid w:val="001E33EA"/>
    <w:rsid w:val="002144ED"/>
    <w:rsid w:val="00281149"/>
    <w:rsid w:val="002B216C"/>
    <w:rsid w:val="00307F42"/>
    <w:rsid w:val="003269B8"/>
    <w:rsid w:val="003302E8"/>
    <w:rsid w:val="00345C84"/>
    <w:rsid w:val="003625B1"/>
    <w:rsid w:val="003737A9"/>
    <w:rsid w:val="0039226F"/>
    <w:rsid w:val="003B19AE"/>
    <w:rsid w:val="003D0B31"/>
    <w:rsid w:val="00460EFF"/>
    <w:rsid w:val="00493528"/>
    <w:rsid w:val="00493BF7"/>
    <w:rsid w:val="0050268F"/>
    <w:rsid w:val="00510F8A"/>
    <w:rsid w:val="00511B02"/>
    <w:rsid w:val="00524A51"/>
    <w:rsid w:val="00535ED3"/>
    <w:rsid w:val="005626C4"/>
    <w:rsid w:val="00566730"/>
    <w:rsid w:val="005704A7"/>
    <w:rsid w:val="00593CF9"/>
    <w:rsid w:val="005A02FE"/>
    <w:rsid w:val="005A7736"/>
    <w:rsid w:val="005B0F45"/>
    <w:rsid w:val="005C26EA"/>
    <w:rsid w:val="005D3A93"/>
    <w:rsid w:val="00607443"/>
    <w:rsid w:val="006304D2"/>
    <w:rsid w:val="006721AE"/>
    <w:rsid w:val="00697CE2"/>
    <w:rsid w:val="006D393F"/>
    <w:rsid w:val="006E208E"/>
    <w:rsid w:val="00700475"/>
    <w:rsid w:val="00737F10"/>
    <w:rsid w:val="00775F59"/>
    <w:rsid w:val="007A41FD"/>
    <w:rsid w:val="007B153C"/>
    <w:rsid w:val="007C6A55"/>
    <w:rsid w:val="007D5913"/>
    <w:rsid w:val="007E7650"/>
    <w:rsid w:val="00827FAF"/>
    <w:rsid w:val="00832CA0"/>
    <w:rsid w:val="00834E86"/>
    <w:rsid w:val="00882CF1"/>
    <w:rsid w:val="008F02F9"/>
    <w:rsid w:val="008F189B"/>
    <w:rsid w:val="00914061"/>
    <w:rsid w:val="00947F41"/>
    <w:rsid w:val="009665DE"/>
    <w:rsid w:val="00A227A3"/>
    <w:rsid w:val="00A54D51"/>
    <w:rsid w:val="00A64BAE"/>
    <w:rsid w:val="00A75004"/>
    <w:rsid w:val="00AC4E5E"/>
    <w:rsid w:val="00AC686C"/>
    <w:rsid w:val="00AF43B7"/>
    <w:rsid w:val="00B26C63"/>
    <w:rsid w:val="00B45E36"/>
    <w:rsid w:val="00B524CF"/>
    <w:rsid w:val="00B5287D"/>
    <w:rsid w:val="00B54ABF"/>
    <w:rsid w:val="00B60157"/>
    <w:rsid w:val="00B8143D"/>
    <w:rsid w:val="00BD0BDE"/>
    <w:rsid w:val="00BD54EF"/>
    <w:rsid w:val="00BE53D7"/>
    <w:rsid w:val="00BE79C1"/>
    <w:rsid w:val="00C05D85"/>
    <w:rsid w:val="00C1727B"/>
    <w:rsid w:val="00C30632"/>
    <w:rsid w:val="00C52213"/>
    <w:rsid w:val="00C73AC4"/>
    <w:rsid w:val="00C872F9"/>
    <w:rsid w:val="00CB37DA"/>
    <w:rsid w:val="00CF2402"/>
    <w:rsid w:val="00D14BFB"/>
    <w:rsid w:val="00D2466E"/>
    <w:rsid w:val="00D95F5D"/>
    <w:rsid w:val="00DB5421"/>
    <w:rsid w:val="00DD4274"/>
    <w:rsid w:val="00DE1E1A"/>
    <w:rsid w:val="00E132A3"/>
    <w:rsid w:val="00E7388E"/>
    <w:rsid w:val="00E85339"/>
    <w:rsid w:val="00EA391A"/>
    <w:rsid w:val="00EA6CE1"/>
    <w:rsid w:val="00EB2619"/>
    <w:rsid w:val="00ED198B"/>
    <w:rsid w:val="00ED1B1F"/>
    <w:rsid w:val="00EE0C05"/>
    <w:rsid w:val="00F032A0"/>
    <w:rsid w:val="00F802D7"/>
    <w:rsid w:val="00F94937"/>
    <w:rsid w:val="00FB6AE3"/>
    <w:rsid w:val="00FD0AB2"/>
    <w:rsid w:val="00FD4534"/>
    <w:rsid w:val="00FE4363"/>
    <w:rsid w:val="00FE5E0E"/>
    <w:rsid w:val="00FF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C09A"/>
  <w15:chartTrackingRefBased/>
  <w15:docId w15:val="{03B2665C-10FD-4F33-A318-85A09821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CE1"/>
    <w:pPr>
      <w:ind w:left="720"/>
      <w:contextualSpacing/>
    </w:pPr>
  </w:style>
  <w:style w:type="paragraph" w:styleId="BalloonText">
    <w:name w:val="Balloon Text"/>
    <w:basedOn w:val="Normal"/>
    <w:link w:val="BalloonTextChar"/>
    <w:uiPriority w:val="99"/>
    <w:semiHidden/>
    <w:unhideWhenUsed/>
    <w:rsid w:val="005B0F4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0F45"/>
    <w:rPr>
      <w:rFonts w:ascii="Tahoma" w:hAnsi="Tahoma" w:cs="Tahoma"/>
      <w:sz w:val="16"/>
      <w:szCs w:val="16"/>
    </w:rPr>
  </w:style>
  <w:style w:type="paragraph" w:styleId="NoSpacing">
    <w:name w:val="No Spacing"/>
    <w:uiPriority w:val="1"/>
    <w:qFormat/>
    <w:rsid w:val="001C6323"/>
    <w:rPr>
      <w:sz w:val="22"/>
      <w:szCs w:val="22"/>
    </w:rPr>
  </w:style>
  <w:style w:type="character" w:styleId="Hyperlink">
    <w:name w:val="Hyperlink"/>
    <w:basedOn w:val="DefaultParagraphFont"/>
    <w:uiPriority w:val="99"/>
    <w:unhideWhenUsed/>
    <w:rsid w:val="00947F41"/>
    <w:rPr>
      <w:color w:val="0000FF"/>
      <w:u w:val="single"/>
    </w:rPr>
  </w:style>
  <w:style w:type="character" w:styleId="UnresolvedMention">
    <w:name w:val="Unresolved Mention"/>
    <w:basedOn w:val="DefaultParagraphFont"/>
    <w:uiPriority w:val="99"/>
    <w:semiHidden/>
    <w:unhideWhenUsed/>
    <w:rsid w:val="007B153C"/>
    <w:rPr>
      <w:color w:val="605E5C"/>
      <w:shd w:val="clear" w:color="auto" w:fill="E1DFDD"/>
    </w:rPr>
  </w:style>
  <w:style w:type="character" w:styleId="FollowedHyperlink">
    <w:name w:val="FollowedHyperlink"/>
    <w:basedOn w:val="DefaultParagraphFont"/>
    <w:uiPriority w:val="99"/>
    <w:semiHidden/>
    <w:unhideWhenUsed/>
    <w:rsid w:val="00DB54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aleg.maryland.gov/mgawebsite/Laws/StatuteText?article=ghg&amp;section=16-406&amp;enactments=False&amp;archived=False"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mdrules.elaws.us/comar/10.09.08"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drules.elaws.us/comar/10.47.01.0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galeg.maryland.gov/mgawebsite/Laws/StatuteText?article=ghg&amp;section=16-302&amp;enactments=False&amp;archived=False"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E8B822DB612A442BE2B4C226A5497C8" ma:contentTypeVersion="14" ma:contentTypeDescription="Create a new document." ma:contentTypeScope="" ma:versionID="ccd92ec3b6594328739fc06f1952a155">
  <xsd:schema xmlns:xsd="http://www.w3.org/2001/XMLSchema" xmlns:xs="http://www.w3.org/2001/XMLSchema" xmlns:p="http://schemas.microsoft.com/office/2006/metadata/properties" xmlns:ns1="http://schemas.microsoft.com/sharepoint/v3" targetNamespace="http://schemas.microsoft.com/office/2006/metadata/properties" ma:root="true" ma:fieldsID="88fe2862a4d5870e254a143eb7b67b8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389982-33FC-4910-A965-2D179F4E5911}">
  <ds:schemaRefs>
    <ds:schemaRef ds:uri="http://schemas.openxmlformats.org/officeDocument/2006/bibliography"/>
  </ds:schemaRefs>
</ds:datastoreItem>
</file>

<file path=customXml/itemProps2.xml><?xml version="1.0" encoding="utf-8"?>
<ds:datastoreItem xmlns:ds="http://schemas.openxmlformats.org/officeDocument/2006/customXml" ds:itemID="{0AEB6EFA-2031-46A5-9378-EDBE483164EA}"/>
</file>

<file path=customXml/itemProps3.xml><?xml version="1.0" encoding="utf-8"?>
<ds:datastoreItem xmlns:ds="http://schemas.openxmlformats.org/officeDocument/2006/customXml" ds:itemID="{AC14B4DC-0915-41E6-8AE6-1A3470B0B95C}"/>
</file>

<file path=customXml/itemProps4.xml><?xml version="1.0" encoding="utf-8"?>
<ds:datastoreItem xmlns:ds="http://schemas.openxmlformats.org/officeDocument/2006/customXml" ds:itemID="{E7CDCF15-1A5C-4F3B-8D6C-FE19F8AC3BFC}"/>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scain</dc:creator>
  <cp:keywords/>
  <cp:lastModifiedBy>Denise Lewis</cp:lastModifiedBy>
  <cp:revision>2</cp:revision>
  <cp:lastPrinted>2022-06-08T15:20:00Z</cp:lastPrinted>
  <dcterms:created xsi:type="dcterms:W3CDTF">2025-06-26T17:53:00Z</dcterms:created>
  <dcterms:modified xsi:type="dcterms:W3CDTF">2025-06-26T17:53:00Z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0x0101008E8B822DB612A442BE2B4C226A5497C8</vt:lpwstr>
  </property>
</Properties>
</file>