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8AE1F" w14:textId="77777777" w:rsidR="002D7DCC" w:rsidRPr="00387E1B" w:rsidRDefault="002D7DCC" w:rsidP="002D7DCC">
      <w:pPr>
        <w:jc w:val="center"/>
        <w:rPr>
          <w:b/>
        </w:rPr>
      </w:pPr>
    </w:p>
    <w:p w14:paraId="387CA36B" w14:textId="77777777" w:rsidR="002D7DCC" w:rsidRPr="003549BC" w:rsidRDefault="002D7DCC" w:rsidP="002D7DCC">
      <w:pPr>
        <w:rPr>
          <w:sz w:val="18"/>
        </w:rPr>
      </w:pPr>
      <w:r w:rsidRPr="003549BC">
        <w:rPr>
          <w:noProof/>
          <w:sz w:val="18"/>
        </w:rPr>
        <w:drawing>
          <wp:anchor distT="0" distB="0" distL="114300" distR="114300" simplePos="0" relativeHeight="251660288" behindDoc="0" locked="0" layoutInCell="1" allowOverlap="1" wp14:anchorId="5A86B37B" wp14:editId="7CA0646D">
            <wp:simplePos x="0" y="0"/>
            <wp:positionH relativeFrom="column">
              <wp:posOffset>152400</wp:posOffset>
            </wp:positionH>
            <wp:positionV relativeFrom="paragraph">
              <wp:posOffset>3175</wp:posOffset>
            </wp:positionV>
            <wp:extent cx="1437640" cy="1006475"/>
            <wp:effectExtent l="0" t="0" r="0" b="3175"/>
            <wp:wrapSquare wrapText="bothSides"/>
            <wp:docPr id="162"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37640" cy="1006475"/>
                    </a:xfrm>
                    <a:prstGeom prst="rect">
                      <a:avLst/>
                    </a:prstGeom>
                    <a:noFill/>
                  </pic:spPr>
                </pic:pic>
              </a:graphicData>
            </a:graphic>
            <wp14:sizeRelH relativeFrom="page">
              <wp14:pctWidth>0</wp14:pctWidth>
            </wp14:sizeRelH>
            <wp14:sizeRelV relativeFrom="page">
              <wp14:pctHeight>0</wp14:pctHeight>
            </wp14:sizeRelV>
          </wp:anchor>
        </w:drawing>
      </w:r>
      <w:r w:rsidRPr="003549BC">
        <w:rPr>
          <w:sz w:val="18"/>
        </w:rPr>
        <w:t xml:space="preserve">STATE OF MARYLAND </w:t>
      </w:r>
    </w:p>
    <w:p w14:paraId="209616A4" w14:textId="77777777" w:rsidR="002D7DCC" w:rsidRPr="003549BC" w:rsidRDefault="002D7DCC" w:rsidP="002D7DCC">
      <w:pPr>
        <w:keepNext/>
        <w:tabs>
          <w:tab w:val="left" w:pos="2160"/>
        </w:tabs>
        <w:autoSpaceDE w:val="0"/>
        <w:autoSpaceDN w:val="0"/>
        <w:adjustRightInd w:val="0"/>
        <w:outlineLvl w:val="1"/>
        <w:rPr>
          <w:rFonts w:eastAsia="Times New Roman"/>
          <w:b/>
          <w:sz w:val="32"/>
          <w:szCs w:val="36"/>
        </w:rPr>
      </w:pPr>
      <w:r w:rsidRPr="003549BC">
        <w:rPr>
          <w:rFonts w:eastAsia="Times New Roman"/>
          <w:sz w:val="34"/>
          <w:szCs w:val="36"/>
        </w:rPr>
        <w:t>Community Health Resources Commission</w:t>
      </w:r>
      <w:r w:rsidRPr="003549BC">
        <w:rPr>
          <w:rFonts w:eastAsia="Times New Roman"/>
          <w:b/>
          <w:sz w:val="32"/>
          <w:szCs w:val="36"/>
        </w:rPr>
        <w:t xml:space="preserve"> </w:t>
      </w:r>
    </w:p>
    <w:p w14:paraId="38EF5218" w14:textId="77777777" w:rsidR="002D7DCC" w:rsidRPr="003549BC" w:rsidRDefault="002D7DCC" w:rsidP="002D7DCC">
      <w:pPr>
        <w:keepNext/>
        <w:autoSpaceDE w:val="0"/>
        <w:autoSpaceDN w:val="0"/>
        <w:adjustRightInd w:val="0"/>
        <w:spacing w:line="320" w:lineRule="exact"/>
        <w:outlineLvl w:val="2"/>
        <w:rPr>
          <w:rFonts w:eastAsia="Times New Roman"/>
          <w:szCs w:val="32"/>
        </w:rPr>
      </w:pPr>
      <w:r w:rsidRPr="003549BC">
        <w:rPr>
          <w:rFonts w:eastAsia="Times New Roman"/>
          <w:szCs w:val="32"/>
        </w:rPr>
        <w:t>45 Calvert Street, Room 336 • Annapolis, Maryland 21401</w:t>
      </w:r>
    </w:p>
    <w:p w14:paraId="502D2541" w14:textId="77777777" w:rsidR="002D7DCC" w:rsidRPr="003549BC" w:rsidRDefault="002D7DCC" w:rsidP="002D7DCC">
      <w:pPr>
        <w:rPr>
          <w:sz w:val="16"/>
        </w:rPr>
      </w:pPr>
      <w:r w:rsidRPr="003549BC">
        <w:rPr>
          <w:noProof/>
          <w:sz w:val="14"/>
        </w:rPr>
        <mc:AlternateContent>
          <mc:Choice Requires="wps">
            <w:drawing>
              <wp:anchor distT="0" distB="0" distL="114300" distR="114300" simplePos="0" relativeHeight="251659264" behindDoc="0" locked="0" layoutInCell="1" allowOverlap="1" wp14:anchorId="30399545" wp14:editId="2C2052A8">
                <wp:simplePos x="0" y="0"/>
                <wp:positionH relativeFrom="column">
                  <wp:posOffset>1946227</wp:posOffset>
                </wp:positionH>
                <wp:positionV relativeFrom="paragraph">
                  <wp:posOffset>74295</wp:posOffset>
                </wp:positionV>
                <wp:extent cx="4526280" cy="0"/>
                <wp:effectExtent l="10160" t="8255" r="6985" b="10795"/>
                <wp:wrapNone/>
                <wp:docPr id="160"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26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5916E" id="Line 12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25pt,5.85pt" to="509.6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"/>
            </w:pict>
          </mc:Fallback>
        </mc:AlternateContent>
      </w:r>
    </w:p>
    <w:p w14:paraId="6EFB13D7" w14:textId="77777777" w:rsidR="002D7DCC" w:rsidRPr="00436DA0" w:rsidRDefault="002D7DCC" w:rsidP="002D7DCC">
      <w:pPr>
        <w:rPr>
          <w:sz w:val="18"/>
        </w:rPr>
      </w:pPr>
      <w:r w:rsidRPr="00436DA0">
        <w:rPr>
          <w:sz w:val="18"/>
        </w:rPr>
        <w:t>Larry Hogan, Governor - Boyd Rutherford, Lt. Governor</w:t>
      </w:r>
    </w:p>
    <w:p w14:paraId="31350828" w14:textId="77777777" w:rsidR="002D7DCC" w:rsidRPr="00436DA0" w:rsidRDefault="002D7DCC" w:rsidP="002D7DCC">
      <w:pPr>
        <w:tabs>
          <w:tab w:val="left" w:pos="1800"/>
        </w:tabs>
        <w:rPr>
          <w:sz w:val="18"/>
        </w:rPr>
      </w:pPr>
      <w:r w:rsidRPr="00436DA0">
        <w:rPr>
          <w:sz w:val="18"/>
        </w:rPr>
        <w:t>Allan Anderson, M.D., Chair – Mark Luckner, Executive Director</w:t>
      </w:r>
    </w:p>
    <w:p w14:paraId="69E68107" w14:textId="77777777" w:rsidR="00B30862" w:rsidRDefault="00B30862" w:rsidP="00B30862">
      <w:pPr>
        <w:rPr>
          <w:rFonts w:eastAsia="Times New Roman"/>
          <w:sz w:val="22"/>
          <w:szCs w:val="22"/>
        </w:rPr>
      </w:pPr>
    </w:p>
    <w:p w14:paraId="6673C8A8" w14:textId="2C964A8F" w:rsidR="00B30862" w:rsidRPr="00005DA7" w:rsidRDefault="00876112" w:rsidP="00E95CD5">
      <w:pPr>
        <w:ind w:left="288"/>
        <w:rPr>
          <w:rFonts w:eastAsia="Times New Roman"/>
          <w:sz w:val="22"/>
          <w:szCs w:val="22"/>
        </w:rPr>
      </w:pPr>
      <w:r>
        <w:rPr>
          <w:rFonts w:eastAsia="Times New Roman"/>
          <w:sz w:val="22"/>
          <w:szCs w:val="22"/>
        </w:rPr>
        <w:t>October 10</w:t>
      </w:r>
      <w:r w:rsidR="00B30862" w:rsidRPr="00005DA7">
        <w:rPr>
          <w:rFonts w:eastAsia="Times New Roman"/>
          <w:sz w:val="22"/>
          <w:szCs w:val="22"/>
        </w:rPr>
        <w:t>, 2018</w:t>
      </w:r>
    </w:p>
    <w:p w14:paraId="06C0764B" w14:textId="77777777" w:rsidR="0060760C" w:rsidRDefault="0060760C" w:rsidP="00E95CD5">
      <w:pPr>
        <w:ind w:left="288"/>
        <w:rPr>
          <w:rFonts w:eastAsia="Times New Roman"/>
          <w:sz w:val="22"/>
          <w:szCs w:val="22"/>
        </w:rPr>
      </w:pPr>
    </w:p>
    <w:p w14:paraId="65976EFE" w14:textId="4870AC96" w:rsidR="00FE5E10" w:rsidRPr="00FE5E10" w:rsidRDefault="00876112" w:rsidP="00E95CD5">
      <w:pPr>
        <w:ind w:left="288"/>
        <w:rPr>
          <w:rFonts w:eastAsia="Times New Roman"/>
          <w:b/>
        </w:rPr>
      </w:pPr>
      <w:r>
        <w:rPr>
          <w:rFonts w:eastAsia="Times New Roman"/>
          <w:b/>
        </w:rPr>
        <w:t>CHRC GRANTS SUPPORTING SCHOOL-BASED HEALTH CENTERS</w:t>
      </w:r>
    </w:p>
    <w:p w14:paraId="7736F672" w14:textId="77777777" w:rsidR="00FE5E10" w:rsidRPr="00FE5E10" w:rsidRDefault="00FE5E10" w:rsidP="00E95CD5">
      <w:pPr>
        <w:ind w:left="288"/>
        <w:rPr>
          <w:rFonts w:eastAsia="Times New Roman"/>
        </w:rPr>
      </w:pPr>
    </w:p>
    <w:p w14:paraId="2086BF84" w14:textId="0F5C6884" w:rsidR="0060760C" w:rsidRPr="00005DA7" w:rsidRDefault="0060760C" w:rsidP="0060760C">
      <w:pPr>
        <w:ind w:left="288"/>
        <w:rPr>
          <w:rFonts w:eastAsia="Times New Roman"/>
          <w:sz w:val="22"/>
          <w:szCs w:val="22"/>
        </w:rPr>
      </w:pPr>
      <w:r w:rsidRPr="00005DA7">
        <w:rPr>
          <w:rFonts w:eastAsia="Times New Roman"/>
          <w:sz w:val="22"/>
          <w:szCs w:val="22"/>
        </w:rPr>
        <w:t>The Commission has awarded 15 grants totaling $</w:t>
      </w:r>
      <w:r w:rsidRPr="00CA5D35">
        <w:rPr>
          <w:rFonts w:eastAsia="Times New Roman"/>
          <w:sz w:val="22"/>
          <w:szCs w:val="22"/>
        </w:rPr>
        <w:t>3.</w:t>
      </w:r>
      <w:r w:rsidR="002A0AD3">
        <w:rPr>
          <w:rFonts w:eastAsia="Times New Roman"/>
          <w:sz w:val="22"/>
          <w:szCs w:val="22"/>
        </w:rPr>
        <w:t>35</w:t>
      </w:r>
      <w:r w:rsidRPr="00CA5D35">
        <w:rPr>
          <w:rFonts w:eastAsia="Times New Roman"/>
          <w:sz w:val="22"/>
          <w:szCs w:val="22"/>
        </w:rPr>
        <w:t xml:space="preserve"> million</w:t>
      </w:r>
      <w:r w:rsidRPr="00005DA7">
        <w:rPr>
          <w:rFonts w:eastAsia="Times New Roman"/>
          <w:sz w:val="22"/>
          <w:szCs w:val="22"/>
        </w:rPr>
        <w:t xml:space="preserve"> to support School Based Health Centers (SBHC) in 11 jurisdictions. CHRC SBHC grants have supported programs in rural, urban, and suburban </w:t>
      </w:r>
      <w:r w:rsidR="000A7E85">
        <w:rPr>
          <w:rFonts w:eastAsia="Times New Roman"/>
          <w:sz w:val="22"/>
          <w:szCs w:val="22"/>
        </w:rPr>
        <w:t>communities</w:t>
      </w:r>
      <w:r w:rsidRPr="00005DA7">
        <w:rPr>
          <w:rFonts w:eastAsia="Times New Roman"/>
          <w:sz w:val="22"/>
          <w:szCs w:val="22"/>
        </w:rPr>
        <w:t>. These programs have collectively served more than 14,</w:t>
      </w:r>
      <w:r w:rsidR="002A0AD3">
        <w:rPr>
          <w:rFonts w:eastAsia="Times New Roman"/>
          <w:sz w:val="22"/>
          <w:szCs w:val="22"/>
        </w:rPr>
        <w:t>000</w:t>
      </w:r>
      <w:r w:rsidRPr="00005DA7">
        <w:rPr>
          <w:rFonts w:eastAsia="Times New Roman"/>
          <w:sz w:val="22"/>
          <w:szCs w:val="22"/>
        </w:rPr>
        <w:t xml:space="preserve"> individuals. </w:t>
      </w:r>
    </w:p>
    <w:p w14:paraId="0169ABF6" w14:textId="77777777" w:rsidR="0060760C" w:rsidRPr="00005DA7" w:rsidRDefault="0060760C" w:rsidP="0060760C">
      <w:pPr>
        <w:ind w:left="288"/>
        <w:rPr>
          <w:rFonts w:eastAsia="Times New Roman"/>
          <w:sz w:val="22"/>
          <w:szCs w:val="22"/>
        </w:rPr>
      </w:pPr>
    </w:p>
    <w:p w14:paraId="4DF6BA42" w14:textId="49159CD0" w:rsidR="0060760C" w:rsidRPr="00005DA7" w:rsidRDefault="0060760C" w:rsidP="0060760C">
      <w:pPr>
        <w:ind w:left="288"/>
        <w:rPr>
          <w:rFonts w:eastAsia="Times New Roman"/>
          <w:sz w:val="22"/>
          <w:szCs w:val="22"/>
        </w:rPr>
      </w:pPr>
      <w:r w:rsidRPr="00005DA7">
        <w:rPr>
          <w:rFonts w:eastAsia="Times New Roman"/>
          <w:b/>
          <w:sz w:val="22"/>
          <w:szCs w:val="22"/>
        </w:rPr>
        <w:t xml:space="preserve">Wicomico County Health Department </w:t>
      </w:r>
      <w:r w:rsidRPr="00005DA7">
        <w:rPr>
          <w:rFonts w:eastAsia="Times New Roman"/>
          <w:sz w:val="22"/>
          <w:szCs w:val="22"/>
        </w:rPr>
        <w:t xml:space="preserve">(2016, $425,000) This three-year grant is being used to support the opening of a school-based health center (SBHC) in Salisbury. In addition to serving students, the SBHC will be open to the adult staff members of the two schools and provides a new access point for both primary and behavioral health services. Billable services will be billed to Medicaid and third-party insurers. </w:t>
      </w:r>
    </w:p>
    <w:p w14:paraId="38D395DB" w14:textId="77777777" w:rsidR="0060760C" w:rsidRPr="00005DA7" w:rsidRDefault="0060760C" w:rsidP="0060760C">
      <w:pPr>
        <w:ind w:left="288"/>
        <w:rPr>
          <w:rFonts w:eastAsia="Times New Roman"/>
          <w:sz w:val="22"/>
          <w:szCs w:val="22"/>
        </w:rPr>
      </w:pPr>
    </w:p>
    <w:p w14:paraId="2828BDB7" w14:textId="5D2DA44A" w:rsidR="0060760C" w:rsidRPr="00005DA7" w:rsidRDefault="0060760C" w:rsidP="0060760C">
      <w:pPr>
        <w:ind w:left="288"/>
        <w:rPr>
          <w:sz w:val="22"/>
          <w:szCs w:val="22"/>
        </w:rPr>
      </w:pPr>
      <w:r w:rsidRPr="00005DA7">
        <w:rPr>
          <w:b/>
          <w:sz w:val="22"/>
          <w:szCs w:val="22"/>
        </w:rPr>
        <w:t>Charles County Health Department</w:t>
      </w:r>
      <w:r w:rsidRPr="00005DA7">
        <w:rPr>
          <w:sz w:val="22"/>
          <w:szCs w:val="22"/>
        </w:rPr>
        <w:t xml:space="preserve"> (2014, $260,000) This three-year grant supported a school-based dental program that screens children in the Charles County public school syst</w:t>
      </w:r>
      <w:bookmarkStart w:id="0" w:name="_GoBack"/>
      <w:bookmarkEnd w:id="0"/>
      <w:r w:rsidRPr="00005DA7">
        <w:rPr>
          <w:sz w:val="22"/>
          <w:szCs w:val="22"/>
        </w:rPr>
        <w:t xml:space="preserve">em and provide access to fluoride, dental sealants, and clinical services in an area of southern Maryland that is lacking in oral health safety net infrastructure. </w:t>
      </w:r>
      <w:r w:rsidR="00005DA7" w:rsidRPr="00005DA7">
        <w:rPr>
          <w:sz w:val="22"/>
          <w:szCs w:val="22"/>
        </w:rPr>
        <w:t>The grantee reported serving 2,282 children through 2413 dental visits.</w:t>
      </w:r>
    </w:p>
    <w:p w14:paraId="06C332B2" w14:textId="77777777" w:rsidR="00AB6810" w:rsidRPr="00005DA7" w:rsidRDefault="00AB6810" w:rsidP="0060760C">
      <w:pPr>
        <w:ind w:left="288"/>
        <w:rPr>
          <w:rFonts w:eastAsia="Times New Roman"/>
          <w:sz w:val="22"/>
          <w:szCs w:val="22"/>
        </w:rPr>
      </w:pPr>
    </w:p>
    <w:p w14:paraId="097C8952" w14:textId="3B0484B9" w:rsidR="00AB6810" w:rsidRPr="00005DA7" w:rsidRDefault="00AB6810" w:rsidP="0060760C">
      <w:pPr>
        <w:ind w:left="288"/>
        <w:rPr>
          <w:sz w:val="22"/>
          <w:szCs w:val="22"/>
        </w:rPr>
      </w:pPr>
      <w:r w:rsidRPr="00005DA7">
        <w:rPr>
          <w:b/>
          <w:sz w:val="22"/>
          <w:szCs w:val="22"/>
        </w:rPr>
        <w:t>Bel Alton Community Development</w:t>
      </w:r>
      <w:r w:rsidRPr="00005DA7">
        <w:rPr>
          <w:sz w:val="22"/>
          <w:szCs w:val="22"/>
        </w:rPr>
        <w:t xml:space="preserve"> </w:t>
      </w:r>
      <w:r w:rsidRPr="00005DA7">
        <w:rPr>
          <w:b/>
          <w:sz w:val="22"/>
          <w:szCs w:val="22"/>
        </w:rPr>
        <w:t>Center</w:t>
      </w:r>
      <w:r w:rsidRPr="00005DA7">
        <w:rPr>
          <w:sz w:val="22"/>
          <w:szCs w:val="22"/>
        </w:rPr>
        <w:t xml:space="preserve"> (2012, $250,000) Th</w:t>
      </w:r>
      <w:r w:rsidR="00005DA7" w:rsidRPr="00005DA7">
        <w:rPr>
          <w:sz w:val="22"/>
          <w:szCs w:val="22"/>
        </w:rPr>
        <w:t>is</w:t>
      </w:r>
      <w:r w:rsidRPr="00005DA7">
        <w:rPr>
          <w:sz w:val="22"/>
          <w:szCs w:val="22"/>
        </w:rPr>
        <w:t xml:space="preserve"> two-year grant enabled Bel Alton to provide comprehensive dental screenings and oral health education to children in eight elementary schools in Charles County in the first-year of this grant and expand to schools in St. Mary’s and Calvert in the second year of the program. </w:t>
      </w:r>
      <w:r w:rsidR="00005DA7" w:rsidRPr="00005DA7">
        <w:rPr>
          <w:sz w:val="22"/>
          <w:szCs w:val="22"/>
        </w:rPr>
        <w:t>Over the duration of the grant, Bel Alton provided dental services to 458 children through 1285 visits.</w:t>
      </w:r>
    </w:p>
    <w:p w14:paraId="2661FB27" w14:textId="77777777" w:rsidR="00AB6810" w:rsidRPr="00005DA7" w:rsidRDefault="00AB6810" w:rsidP="0060760C">
      <w:pPr>
        <w:ind w:left="288"/>
        <w:rPr>
          <w:rFonts w:eastAsia="Times New Roman"/>
          <w:sz w:val="22"/>
          <w:szCs w:val="22"/>
        </w:rPr>
      </w:pPr>
    </w:p>
    <w:p w14:paraId="17ECBED8" w14:textId="37647EE1" w:rsidR="00AB6810" w:rsidRPr="00005DA7" w:rsidRDefault="00AB6810" w:rsidP="0060760C">
      <w:pPr>
        <w:ind w:left="288"/>
        <w:rPr>
          <w:rFonts w:eastAsia="Times New Roman"/>
          <w:sz w:val="22"/>
          <w:szCs w:val="22"/>
        </w:rPr>
      </w:pPr>
      <w:r w:rsidRPr="00005DA7">
        <w:rPr>
          <w:rFonts w:eastAsia="Times New Roman"/>
          <w:b/>
          <w:sz w:val="22"/>
          <w:szCs w:val="22"/>
        </w:rPr>
        <w:t>Walnut Street Community Health Center</w:t>
      </w:r>
      <w:r w:rsidRPr="00005DA7">
        <w:rPr>
          <w:rFonts w:eastAsia="Times New Roman"/>
          <w:sz w:val="22"/>
          <w:szCs w:val="22"/>
        </w:rPr>
        <w:t xml:space="preserve"> (2012, $98,000) This three-year grant supported the expansion of the Healthy Smiles in Motion, a mobile dental van program that served children in targeted schools throughout Washington County. Over the duration of this grant, Health Smiles in Motion enrolled 505 children and provided 639 visits.</w:t>
      </w:r>
    </w:p>
    <w:p w14:paraId="4A533D82" w14:textId="77777777" w:rsidR="00AB6810" w:rsidRPr="00005DA7" w:rsidRDefault="00AB6810" w:rsidP="0060760C">
      <w:pPr>
        <w:ind w:left="288"/>
        <w:rPr>
          <w:rFonts w:eastAsia="Times New Roman"/>
          <w:sz w:val="22"/>
          <w:szCs w:val="22"/>
        </w:rPr>
      </w:pPr>
    </w:p>
    <w:p w14:paraId="766B8901" w14:textId="2F7DC390" w:rsidR="00AB6810" w:rsidRPr="00005DA7" w:rsidRDefault="00AB6810" w:rsidP="0060760C">
      <w:pPr>
        <w:ind w:left="288"/>
        <w:rPr>
          <w:sz w:val="22"/>
          <w:szCs w:val="22"/>
        </w:rPr>
      </w:pPr>
      <w:r w:rsidRPr="00005DA7">
        <w:rPr>
          <w:b/>
          <w:sz w:val="22"/>
          <w:szCs w:val="22"/>
        </w:rPr>
        <w:t>Washington County Health Department</w:t>
      </w:r>
      <w:r w:rsidRPr="00005DA7">
        <w:rPr>
          <w:sz w:val="22"/>
          <w:szCs w:val="22"/>
        </w:rPr>
        <w:t xml:space="preserve"> (2009, $216,000) This two-year grant supported the expansion of mental health services at the health department's three School-Based Health Centers. The grant funds enabled the expansion of patient access to a licensed social worker. The grant also helped to support the evaluation and implementation of a software system to improve student/patient tracking and improve billing and collections for services. The grantee reported serving 183 students through 1,069 visits over the duration of the grant.</w:t>
      </w:r>
    </w:p>
    <w:p w14:paraId="46495CD3" w14:textId="77777777" w:rsidR="00AB6810" w:rsidRPr="00005DA7" w:rsidRDefault="00AB6810" w:rsidP="0060760C">
      <w:pPr>
        <w:ind w:left="288"/>
        <w:rPr>
          <w:sz w:val="22"/>
          <w:szCs w:val="22"/>
        </w:rPr>
      </w:pPr>
    </w:p>
    <w:p w14:paraId="077AEF49" w14:textId="25645721" w:rsidR="00AB6810" w:rsidRPr="00005DA7" w:rsidRDefault="00AB6810" w:rsidP="0060760C">
      <w:pPr>
        <w:ind w:left="288"/>
        <w:rPr>
          <w:sz w:val="22"/>
          <w:szCs w:val="22"/>
        </w:rPr>
      </w:pPr>
      <w:r w:rsidRPr="00005DA7">
        <w:rPr>
          <w:b/>
          <w:sz w:val="22"/>
          <w:szCs w:val="22"/>
        </w:rPr>
        <w:t>Montgomery County Department of Health and Human Services</w:t>
      </w:r>
      <w:r w:rsidRPr="00005DA7">
        <w:rPr>
          <w:sz w:val="22"/>
          <w:szCs w:val="22"/>
        </w:rPr>
        <w:t xml:space="preserve"> (2009, $224,100) This two-year grant supported the expansion of health care and preventative dental services at four of the school based health centers in the county. The grantee reported nearly 900 students were served through 1,420 primary cares visits and more than 1,700 fluoride varnish applications over the duration of the grant.</w:t>
      </w:r>
    </w:p>
    <w:p w14:paraId="6F292256" w14:textId="77777777" w:rsidR="00AB6810" w:rsidRDefault="00AB6810" w:rsidP="0060760C">
      <w:pPr>
        <w:ind w:left="288"/>
        <w:rPr>
          <w:rFonts w:eastAsia="Times New Roman"/>
          <w:sz w:val="22"/>
          <w:szCs w:val="22"/>
        </w:rPr>
      </w:pPr>
    </w:p>
    <w:p w14:paraId="6DE82E97" w14:textId="26A4E96B" w:rsidR="00005DA7" w:rsidRPr="00DB00DE" w:rsidRDefault="00005DA7" w:rsidP="000A25BC">
      <w:pPr>
        <w:ind w:left="288"/>
        <w:rPr>
          <w:rFonts w:eastAsia="Times New Roman"/>
          <w:sz w:val="22"/>
          <w:szCs w:val="22"/>
        </w:rPr>
      </w:pPr>
      <w:r w:rsidRPr="00DB00DE">
        <w:rPr>
          <w:b/>
          <w:sz w:val="22"/>
          <w:szCs w:val="22"/>
        </w:rPr>
        <w:t>Harford County Health Department</w:t>
      </w:r>
      <w:r w:rsidRPr="00DB00DE">
        <w:rPr>
          <w:sz w:val="22"/>
          <w:szCs w:val="22"/>
        </w:rPr>
        <w:t xml:space="preserve"> (2009, $145,749) This two-year grant supported a school based health center program at four elementary schools in the county. The CHRC's grant supported expansion of primary care and mental health services at the SBHCs for students and their families, particularly those lacking access to care. Grant funds were utilized for administrative costs and to support Community Health Service Evenings, which provided free health screenings, physicals and assisted linking </w:t>
      </w:r>
      <w:r w:rsidRPr="00DB00DE">
        <w:rPr>
          <w:sz w:val="22"/>
          <w:szCs w:val="22"/>
        </w:rPr>
        <w:lastRenderedPageBreak/>
        <w:t>individuals and families to a medical home. The grantee reported that 1,474 patients received care through the program.</w:t>
      </w:r>
    </w:p>
    <w:p w14:paraId="7F503CFB" w14:textId="77777777" w:rsidR="00005DA7" w:rsidRPr="00DB00DE" w:rsidRDefault="00005DA7" w:rsidP="000A25BC">
      <w:pPr>
        <w:ind w:left="288"/>
        <w:rPr>
          <w:rFonts w:eastAsia="Times New Roman"/>
          <w:sz w:val="22"/>
          <w:szCs w:val="22"/>
        </w:rPr>
      </w:pPr>
    </w:p>
    <w:p w14:paraId="27786C51" w14:textId="156F5B37" w:rsidR="00005DA7" w:rsidRPr="00DB00DE" w:rsidRDefault="00005DA7" w:rsidP="000A25BC">
      <w:pPr>
        <w:ind w:left="288"/>
        <w:rPr>
          <w:sz w:val="22"/>
          <w:szCs w:val="22"/>
        </w:rPr>
      </w:pPr>
      <w:r w:rsidRPr="00DB00DE">
        <w:rPr>
          <w:b/>
          <w:sz w:val="22"/>
          <w:szCs w:val="22"/>
        </w:rPr>
        <w:t>Frederick County Health Department</w:t>
      </w:r>
      <w:r w:rsidRPr="00DB00DE">
        <w:rPr>
          <w:sz w:val="22"/>
          <w:szCs w:val="22"/>
        </w:rPr>
        <w:t xml:space="preserve"> (2009, $464,785) This two-year grant supported the opening of the Hillcrest Elementary sc</w:t>
      </w:r>
      <w:r w:rsidR="00651031" w:rsidRPr="00DB00DE">
        <w:rPr>
          <w:sz w:val="22"/>
          <w:szCs w:val="22"/>
        </w:rPr>
        <w:t>hool based health center</w:t>
      </w:r>
      <w:r w:rsidRPr="00DB00DE">
        <w:rPr>
          <w:sz w:val="22"/>
          <w:szCs w:val="22"/>
        </w:rPr>
        <w:t>.</w:t>
      </w:r>
      <w:r w:rsidR="000A25BC">
        <w:rPr>
          <w:sz w:val="22"/>
          <w:szCs w:val="22"/>
        </w:rPr>
        <w:t xml:space="preserve"> </w:t>
      </w:r>
      <w:r w:rsidRPr="00DB00DE">
        <w:rPr>
          <w:sz w:val="22"/>
          <w:szCs w:val="22"/>
        </w:rPr>
        <w:t>This grant supported primary care services, links for students and families to medical homes, oral health screenings and dental fluoride varnishes. In 2011, the Frederick County Health Department transferred this grant to the Frederick Community Action Agency (FCAA), which expanded the program to two additional schools in the jurisdiction; Lincoln Elementary and Waverly Elementary and linked students and families in need of care to FCAA's clinic. The program served 1,102 children through 1,368 visits over the duration of the grant.</w:t>
      </w:r>
    </w:p>
    <w:p w14:paraId="6B9450E2" w14:textId="77777777" w:rsidR="00005DA7" w:rsidRPr="00DB00DE" w:rsidRDefault="00005DA7" w:rsidP="000A25BC">
      <w:pPr>
        <w:ind w:left="288"/>
        <w:rPr>
          <w:sz w:val="22"/>
          <w:szCs w:val="22"/>
        </w:rPr>
      </w:pPr>
    </w:p>
    <w:p w14:paraId="33EFEEC1" w14:textId="545F603D" w:rsidR="00005DA7" w:rsidRPr="00DB00DE" w:rsidRDefault="00005DA7" w:rsidP="000A25BC">
      <w:pPr>
        <w:ind w:left="288"/>
        <w:rPr>
          <w:sz w:val="22"/>
          <w:szCs w:val="22"/>
        </w:rPr>
      </w:pPr>
      <w:r w:rsidRPr="00DB00DE">
        <w:rPr>
          <w:b/>
          <w:sz w:val="22"/>
          <w:szCs w:val="22"/>
        </w:rPr>
        <w:t>Dorchester County Health Department</w:t>
      </w:r>
      <w:r w:rsidR="004E2479" w:rsidRPr="00DB00DE">
        <w:rPr>
          <w:sz w:val="22"/>
          <w:szCs w:val="22"/>
        </w:rPr>
        <w:t xml:space="preserve"> (2009, $220,000) This two-year grant supported the operations of a school based health center in Dorchester County. Grant funds were utilized to support staff salaries at the center as well as to assist administrative personnel in making the program more sustainable through increased billing and maximizing reimbursement. The grantee reported serving 506 students and providing more than 2,700 clinical and mental health services over the duration of the grant.</w:t>
      </w:r>
    </w:p>
    <w:p w14:paraId="25874406" w14:textId="77777777" w:rsidR="00005DA7" w:rsidRPr="00DB00DE" w:rsidRDefault="00005DA7" w:rsidP="000A25BC">
      <w:pPr>
        <w:ind w:left="288"/>
        <w:rPr>
          <w:sz w:val="22"/>
          <w:szCs w:val="22"/>
        </w:rPr>
      </w:pPr>
    </w:p>
    <w:p w14:paraId="514971C5" w14:textId="182C27C5" w:rsidR="00005DA7" w:rsidRPr="00DB00DE" w:rsidRDefault="004E2479" w:rsidP="000A25BC">
      <w:pPr>
        <w:ind w:left="288"/>
        <w:rPr>
          <w:sz w:val="22"/>
          <w:szCs w:val="22"/>
        </w:rPr>
      </w:pPr>
      <w:r w:rsidRPr="00DB00DE">
        <w:rPr>
          <w:b/>
          <w:sz w:val="22"/>
          <w:szCs w:val="22"/>
        </w:rPr>
        <w:t xml:space="preserve">Coppin State University </w:t>
      </w:r>
      <w:r w:rsidR="00005DA7" w:rsidRPr="00DB00DE">
        <w:rPr>
          <w:b/>
          <w:sz w:val="22"/>
          <w:szCs w:val="22"/>
        </w:rPr>
        <w:t>Nursing School</w:t>
      </w:r>
      <w:r w:rsidRPr="00DB00DE">
        <w:rPr>
          <w:sz w:val="22"/>
          <w:szCs w:val="22"/>
        </w:rPr>
        <w:t xml:space="preserve"> (2009, $201,963) This two-year grant supported the expansion of a school based health center program to serve the residents of Baltimore City. Funding was utilized to upgrade equipment, install health information technology to improve the health center's clinical records, and assist in billing and reimbursement from third party payers. The grantee reported providing services for 2,319 students over the duration of the grant.</w:t>
      </w:r>
    </w:p>
    <w:p w14:paraId="33FA3271" w14:textId="77777777" w:rsidR="00005DA7" w:rsidRPr="00DB00DE" w:rsidRDefault="00005DA7" w:rsidP="000A25BC">
      <w:pPr>
        <w:ind w:left="288"/>
        <w:rPr>
          <w:sz w:val="22"/>
          <w:szCs w:val="22"/>
        </w:rPr>
      </w:pPr>
    </w:p>
    <w:p w14:paraId="206DE81A" w14:textId="64D749F9" w:rsidR="00005DA7" w:rsidRPr="00DB00DE" w:rsidRDefault="00005DA7" w:rsidP="000A25BC">
      <w:pPr>
        <w:ind w:left="288"/>
        <w:rPr>
          <w:sz w:val="22"/>
          <w:szCs w:val="22"/>
        </w:rPr>
      </w:pPr>
      <w:r w:rsidRPr="00DB00DE">
        <w:rPr>
          <w:b/>
          <w:sz w:val="22"/>
          <w:szCs w:val="22"/>
        </w:rPr>
        <w:t>Baltimore County Health Department</w:t>
      </w:r>
      <w:r w:rsidR="004E2479" w:rsidRPr="00DB00DE">
        <w:rPr>
          <w:sz w:val="22"/>
          <w:szCs w:val="22"/>
        </w:rPr>
        <w:t xml:space="preserve"> (2009, $55,450) This one-year grant supported the health department’s efforts to enhance the information technology capacities in the health department's school-based wellness centers, and to expand services by opening a school-based wellness center in Dundalk. Grant funds were utilized to upgrade the computers systems at the SBHCs. The new computers and other upgraded equipment paid for with this funding enabled the SBHC to keep more complete and accurate patient records with an ultimate goal of being able to bill for health care services rendered.</w:t>
      </w:r>
    </w:p>
    <w:p w14:paraId="36106DB9" w14:textId="77777777" w:rsidR="00005DA7" w:rsidRPr="00DB00DE" w:rsidRDefault="00005DA7" w:rsidP="000A25BC">
      <w:pPr>
        <w:ind w:left="288"/>
        <w:rPr>
          <w:sz w:val="22"/>
          <w:szCs w:val="22"/>
        </w:rPr>
      </w:pPr>
    </w:p>
    <w:p w14:paraId="2F4E17AB" w14:textId="5B31B8A2" w:rsidR="00005DA7" w:rsidRPr="00DB00DE" w:rsidRDefault="00005DA7" w:rsidP="000A25BC">
      <w:pPr>
        <w:ind w:left="288"/>
        <w:rPr>
          <w:sz w:val="22"/>
          <w:szCs w:val="22"/>
        </w:rPr>
      </w:pPr>
      <w:r w:rsidRPr="00DB00DE">
        <w:rPr>
          <w:b/>
          <w:sz w:val="22"/>
          <w:szCs w:val="22"/>
        </w:rPr>
        <w:t>Baltimore City Health Department</w:t>
      </w:r>
      <w:r w:rsidR="004E2479" w:rsidRPr="00DB00DE">
        <w:rPr>
          <w:sz w:val="22"/>
          <w:szCs w:val="22"/>
        </w:rPr>
        <w:t xml:space="preserve"> (2009, $160,000) This two-year grant supported the Health Department's efforts to develop and implement a technical assistance and training project so school-based health centers (SBHC) bill public and private payors for health care services. The grant supported the health department’s efforts to provide training materials and technical assistance services aimed at assisting SBHCs develop and manage billing and collections systems.</w:t>
      </w:r>
    </w:p>
    <w:p w14:paraId="31EC40AF" w14:textId="77777777" w:rsidR="00005DA7" w:rsidRPr="00DB00DE" w:rsidRDefault="00005DA7" w:rsidP="000A25BC">
      <w:pPr>
        <w:ind w:left="288"/>
        <w:rPr>
          <w:sz w:val="22"/>
          <w:szCs w:val="22"/>
        </w:rPr>
      </w:pPr>
    </w:p>
    <w:p w14:paraId="4F7A4421" w14:textId="6C22B4E6" w:rsidR="00005DA7" w:rsidRPr="00DB00DE" w:rsidRDefault="00005DA7" w:rsidP="000A25BC">
      <w:pPr>
        <w:ind w:left="288"/>
        <w:rPr>
          <w:sz w:val="22"/>
          <w:szCs w:val="22"/>
        </w:rPr>
      </w:pPr>
      <w:r w:rsidRPr="00DB00DE">
        <w:rPr>
          <w:b/>
          <w:sz w:val="22"/>
          <w:szCs w:val="22"/>
        </w:rPr>
        <w:t>Prince George's County Health Department</w:t>
      </w:r>
      <w:r w:rsidR="004E2479" w:rsidRPr="00DB00DE">
        <w:rPr>
          <w:sz w:val="22"/>
          <w:szCs w:val="22"/>
        </w:rPr>
        <w:t xml:space="preserve"> (2008, $299,164) This three-year grant supported the expansion of existing dental care resources in Prince George’s County for low-income children and their families to expand oral disease prevention and health promotion. Grant funds were utilized to staff a dentist, a dental hygienist, a dental assistant, and a case manager as well as support the School-Based Program's dental Sealant Program and the Early Childhood Caries Program at the Cheverly Health Center. The grantee reporting serving 2,480 children through 4,336 visits over the duration of the grant.</w:t>
      </w:r>
    </w:p>
    <w:p w14:paraId="1C9254BB" w14:textId="77777777" w:rsidR="00005DA7" w:rsidRPr="00DB00DE" w:rsidRDefault="00005DA7" w:rsidP="000A25BC">
      <w:pPr>
        <w:ind w:left="288"/>
        <w:rPr>
          <w:sz w:val="22"/>
          <w:szCs w:val="22"/>
        </w:rPr>
      </w:pPr>
    </w:p>
    <w:p w14:paraId="7F7F7D87" w14:textId="4AE04FCA" w:rsidR="00005DA7" w:rsidRPr="00DB00DE" w:rsidRDefault="00005DA7" w:rsidP="000A25BC">
      <w:pPr>
        <w:ind w:left="288"/>
        <w:rPr>
          <w:sz w:val="22"/>
          <w:szCs w:val="22"/>
        </w:rPr>
      </w:pPr>
      <w:r w:rsidRPr="00DB00DE">
        <w:rPr>
          <w:b/>
          <w:sz w:val="22"/>
          <w:szCs w:val="22"/>
        </w:rPr>
        <w:t>Family Health Centers of Baltimore</w:t>
      </w:r>
      <w:r w:rsidR="004E2479" w:rsidRPr="00DB00DE">
        <w:rPr>
          <w:sz w:val="22"/>
          <w:szCs w:val="22"/>
        </w:rPr>
        <w:t xml:space="preserve"> (2008, $300,000) The three-year grant supported a pediatric dental program that provided screenings and oral health educations in area schools and Head Start Locations and linked students to a dental home at FHCB. Under this grant, FHCB was able expand the dental clinic to include more days and evening hours and added a part-time pediatric dentists to allow FHCB to serve more children. </w:t>
      </w:r>
    </w:p>
    <w:p w14:paraId="66E3DB8D" w14:textId="77777777" w:rsidR="00005DA7" w:rsidRPr="00DB00DE" w:rsidRDefault="00005DA7" w:rsidP="00005DA7">
      <w:pPr>
        <w:rPr>
          <w:sz w:val="22"/>
          <w:szCs w:val="22"/>
        </w:rPr>
      </w:pPr>
    </w:p>
    <w:p w14:paraId="65328CCB" w14:textId="07A9A8DA" w:rsidR="00E95CD5" w:rsidRPr="00DB00DE" w:rsidRDefault="00E7553A" w:rsidP="000A25BC">
      <w:pPr>
        <w:ind w:left="288"/>
        <w:rPr>
          <w:rFonts w:eastAsia="Times New Roman"/>
          <w:sz w:val="22"/>
          <w:szCs w:val="22"/>
        </w:rPr>
      </w:pPr>
      <w:r>
        <w:rPr>
          <w:b/>
          <w:sz w:val="22"/>
          <w:szCs w:val="22"/>
        </w:rPr>
        <w:t>Carroll County Health Department</w:t>
      </w:r>
      <w:r w:rsidR="004E2479" w:rsidRPr="00DB00DE">
        <w:rPr>
          <w:sz w:val="22"/>
          <w:szCs w:val="22"/>
        </w:rPr>
        <w:t xml:space="preserve"> (2008, </w:t>
      </w:r>
      <w:r w:rsidR="002361DF">
        <w:rPr>
          <w:sz w:val="22"/>
          <w:szCs w:val="22"/>
        </w:rPr>
        <w:t>$29,03</w:t>
      </w:r>
      <w:r w:rsidR="00F50441" w:rsidRPr="00DB00DE">
        <w:rPr>
          <w:sz w:val="22"/>
          <w:szCs w:val="22"/>
        </w:rPr>
        <w:t>0</w:t>
      </w:r>
      <w:r w:rsidR="004E2479" w:rsidRPr="00DB00DE">
        <w:rPr>
          <w:sz w:val="22"/>
          <w:szCs w:val="22"/>
        </w:rPr>
        <w:t xml:space="preserve">) </w:t>
      </w:r>
      <w:r w:rsidRPr="00E7553A">
        <w:rPr>
          <w:sz w:val="22"/>
          <w:szCs w:val="22"/>
        </w:rPr>
        <w:t xml:space="preserve">This two-year grant funded a program that supported two pediatric dental projects. The first project expanded access to pediatric dental care by extended the dental clinic hours. The second project piloted an off-site Fluoride Varnish Program for children enrolled in the county </w:t>
      </w:r>
      <w:r w:rsidR="00E853A4">
        <w:rPr>
          <w:sz w:val="22"/>
          <w:szCs w:val="22"/>
        </w:rPr>
        <w:t xml:space="preserve">schools and </w:t>
      </w:r>
      <w:r w:rsidRPr="00E7553A">
        <w:rPr>
          <w:sz w:val="22"/>
          <w:szCs w:val="22"/>
        </w:rPr>
        <w:t>Head Start program. Over 600 patients were enrolled over the duration of the grant.</w:t>
      </w:r>
      <w:r>
        <w:rPr>
          <w:sz w:val="22"/>
          <w:szCs w:val="22"/>
        </w:rPr>
        <w:t xml:space="preserve"> The grant supported a dental hygienist to support both projects.</w:t>
      </w:r>
    </w:p>
    <w:sectPr w:rsidR="00E95CD5" w:rsidRPr="00DB00DE" w:rsidSect="000A25BC">
      <w:footerReference w:type="even" r:id="rId9"/>
      <w:pgSz w:w="12240" w:h="15840" w:code="1"/>
      <w:pgMar w:top="864" w:right="1152" w:bottom="864" w:left="1440" w:header="288"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9767E" w14:textId="77777777" w:rsidR="00DA1BDC" w:rsidRDefault="00DA1BDC" w:rsidP="00BA63E9">
      <w:r>
        <w:separator/>
      </w:r>
    </w:p>
  </w:endnote>
  <w:endnote w:type="continuationSeparator" w:id="0">
    <w:p w14:paraId="315B10E3" w14:textId="77777777" w:rsidR="00DA1BDC" w:rsidRDefault="00DA1BDC" w:rsidP="00BA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46545" w14:textId="77777777" w:rsidR="00E21B6A" w:rsidRDefault="00E21B6A" w:rsidP="008974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6DDE89" w14:textId="77777777" w:rsidR="00E21B6A" w:rsidRDefault="00E21B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E8C890" w14:textId="77777777" w:rsidR="00DA1BDC" w:rsidRDefault="00DA1BDC" w:rsidP="00BA63E9">
      <w:r>
        <w:separator/>
      </w:r>
    </w:p>
  </w:footnote>
  <w:footnote w:type="continuationSeparator" w:id="0">
    <w:p w14:paraId="315C6CA4" w14:textId="77777777" w:rsidR="00DA1BDC" w:rsidRDefault="00DA1BDC" w:rsidP="00BA63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3168B"/>
    <w:multiLevelType w:val="hybridMultilevel"/>
    <w:tmpl w:val="B8425AAC"/>
    <w:lvl w:ilvl="0" w:tplc="3EE2C712">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D6C6DEE"/>
    <w:multiLevelType w:val="hybridMultilevel"/>
    <w:tmpl w:val="0BF2C1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4D53CD"/>
    <w:multiLevelType w:val="hybridMultilevel"/>
    <w:tmpl w:val="2780A3E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2A229EE"/>
    <w:multiLevelType w:val="hybridMultilevel"/>
    <w:tmpl w:val="9564C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6107012"/>
    <w:multiLevelType w:val="hybridMultilevel"/>
    <w:tmpl w:val="B2863AAC"/>
    <w:lvl w:ilvl="0" w:tplc="862CEE82">
      <w:start w:val="1"/>
      <w:numFmt w:val="decimal"/>
      <w:lvlText w:val="%1."/>
      <w:lvlJc w:val="left"/>
      <w:pPr>
        <w:tabs>
          <w:tab w:val="num" w:pos="360"/>
        </w:tabs>
        <w:ind w:left="360" w:hanging="360"/>
      </w:pPr>
      <w:rPr>
        <w:rFonts w:cs="Times New Roman" w:hint="default"/>
        <w:b w:val="0"/>
        <w:i w:val="0"/>
      </w:rPr>
    </w:lvl>
    <w:lvl w:ilvl="1" w:tplc="78025B26">
      <w:start w:val="1"/>
      <w:numFmt w:val="upperLetter"/>
      <w:lvlText w:val="%2."/>
      <w:lvlJc w:val="left"/>
      <w:pPr>
        <w:tabs>
          <w:tab w:val="num" w:pos="720"/>
        </w:tabs>
        <w:ind w:left="734" w:hanging="374"/>
      </w:pPr>
      <w:rPr>
        <w:rFonts w:cs="Times New Roman" w:hint="default"/>
        <w:b w:val="0"/>
        <w:i w:val="0"/>
      </w:rPr>
    </w:lvl>
    <w:lvl w:ilvl="2" w:tplc="DF984396">
      <w:start w:val="1"/>
      <w:numFmt w:val="upperLetter"/>
      <w:lvlText w:val="%3."/>
      <w:lvlJc w:val="left"/>
      <w:pPr>
        <w:tabs>
          <w:tab w:val="num" w:pos="720"/>
        </w:tabs>
        <w:ind w:left="720" w:hanging="360"/>
      </w:pPr>
      <w:rPr>
        <w:rFonts w:cs="Times New Roman" w:hint="default"/>
        <w:b w:val="0"/>
        <w:i w:val="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1440"/>
        </w:tabs>
        <w:ind w:left="144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CB52A31"/>
    <w:multiLevelType w:val="hybridMultilevel"/>
    <w:tmpl w:val="9E2211B0"/>
    <w:lvl w:ilvl="0" w:tplc="253816A4">
      <w:start w:val="1"/>
      <w:numFmt w:val="lowerRoman"/>
      <w:lvlText w:val="%1."/>
      <w:lvlJc w:val="right"/>
      <w:pPr>
        <w:tabs>
          <w:tab w:val="num" w:pos="3060"/>
        </w:tabs>
        <w:ind w:left="3060" w:hanging="18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EC8"/>
    <w:rsid w:val="00005DA7"/>
    <w:rsid w:val="00013CC8"/>
    <w:rsid w:val="00020ACF"/>
    <w:rsid w:val="00025E3A"/>
    <w:rsid w:val="00030BD3"/>
    <w:rsid w:val="000477AB"/>
    <w:rsid w:val="00054DE2"/>
    <w:rsid w:val="00064D33"/>
    <w:rsid w:val="0007502F"/>
    <w:rsid w:val="00086B7D"/>
    <w:rsid w:val="00097A9D"/>
    <w:rsid w:val="000A25BC"/>
    <w:rsid w:val="000A3A39"/>
    <w:rsid w:val="000A7E85"/>
    <w:rsid w:val="000E13E2"/>
    <w:rsid w:val="001041CA"/>
    <w:rsid w:val="00131ADD"/>
    <w:rsid w:val="00131DDA"/>
    <w:rsid w:val="00151A7B"/>
    <w:rsid w:val="001523B7"/>
    <w:rsid w:val="00154A39"/>
    <w:rsid w:val="00171932"/>
    <w:rsid w:val="001A634F"/>
    <w:rsid w:val="001B2BF1"/>
    <w:rsid w:val="001C2A01"/>
    <w:rsid w:val="001D0B94"/>
    <w:rsid w:val="001D427E"/>
    <w:rsid w:val="001D432F"/>
    <w:rsid w:val="001E2508"/>
    <w:rsid w:val="001E4AA7"/>
    <w:rsid w:val="001F2763"/>
    <w:rsid w:val="00205032"/>
    <w:rsid w:val="00205F4C"/>
    <w:rsid w:val="00211921"/>
    <w:rsid w:val="00220E4A"/>
    <w:rsid w:val="00221031"/>
    <w:rsid w:val="00235BE6"/>
    <w:rsid w:val="002361DF"/>
    <w:rsid w:val="00241496"/>
    <w:rsid w:val="00247562"/>
    <w:rsid w:val="00254482"/>
    <w:rsid w:val="0026030C"/>
    <w:rsid w:val="002673A0"/>
    <w:rsid w:val="00280E35"/>
    <w:rsid w:val="002840BB"/>
    <w:rsid w:val="00287960"/>
    <w:rsid w:val="00287B10"/>
    <w:rsid w:val="00291C39"/>
    <w:rsid w:val="002A0AD3"/>
    <w:rsid w:val="002B1B9D"/>
    <w:rsid w:val="002B4157"/>
    <w:rsid w:val="002B7F23"/>
    <w:rsid w:val="002C2B04"/>
    <w:rsid w:val="002C5B0A"/>
    <w:rsid w:val="002D7DCC"/>
    <w:rsid w:val="002E0F27"/>
    <w:rsid w:val="00322985"/>
    <w:rsid w:val="00372112"/>
    <w:rsid w:val="00381037"/>
    <w:rsid w:val="00383B98"/>
    <w:rsid w:val="0038765E"/>
    <w:rsid w:val="00387E1B"/>
    <w:rsid w:val="003A1EF5"/>
    <w:rsid w:val="003A74A5"/>
    <w:rsid w:val="003B650B"/>
    <w:rsid w:val="003C29DD"/>
    <w:rsid w:val="003C7C24"/>
    <w:rsid w:val="004047D2"/>
    <w:rsid w:val="00435F0A"/>
    <w:rsid w:val="0043732E"/>
    <w:rsid w:val="00443C0F"/>
    <w:rsid w:val="0044446C"/>
    <w:rsid w:val="00454EB5"/>
    <w:rsid w:val="00480017"/>
    <w:rsid w:val="00482F69"/>
    <w:rsid w:val="004B3AC0"/>
    <w:rsid w:val="004B45AB"/>
    <w:rsid w:val="004B49AC"/>
    <w:rsid w:val="004E14E0"/>
    <w:rsid w:val="004E2479"/>
    <w:rsid w:val="004F6990"/>
    <w:rsid w:val="005016B7"/>
    <w:rsid w:val="00505E87"/>
    <w:rsid w:val="00525584"/>
    <w:rsid w:val="0053330C"/>
    <w:rsid w:val="0053750A"/>
    <w:rsid w:val="00542CFF"/>
    <w:rsid w:val="00543767"/>
    <w:rsid w:val="0056305E"/>
    <w:rsid w:val="005803A3"/>
    <w:rsid w:val="005956A0"/>
    <w:rsid w:val="005D2466"/>
    <w:rsid w:val="005F12E2"/>
    <w:rsid w:val="005F6DA2"/>
    <w:rsid w:val="006055BF"/>
    <w:rsid w:val="00605A16"/>
    <w:rsid w:val="00605B91"/>
    <w:rsid w:val="0060760C"/>
    <w:rsid w:val="00622CEF"/>
    <w:rsid w:val="006330A8"/>
    <w:rsid w:val="00635EA9"/>
    <w:rsid w:val="00643C17"/>
    <w:rsid w:val="00643DEA"/>
    <w:rsid w:val="00651031"/>
    <w:rsid w:val="00657A1F"/>
    <w:rsid w:val="006719AE"/>
    <w:rsid w:val="00685D36"/>
    <w:rsid w:val="006A01CB"/>
    <w:rsid w:val="006C1408"/>
    <w:rsid w:val="006C7589"/>
    <w:rsid w:val="006C7663"/>
    <w:rsid w:val="006C77E3"/>
    <w:rsid w:val="006C796A"/>
    <w:rsid w:val="006E19F5"/>
    <w:rsid w:val="00713775"/>
    <w:rsid w:val="00716ECA"/>
    <w:rsid w:val="007448B1"/>
    <w:rsid w:val="0074645C"/>
    <w:rsid w:val="007566F8"/>
    <w:rsid w:val="007738B3"/>
    <w:rsid w:val="007962CD"/>
    <w:rsid w:val="007A1C5C"/>
    <w:rsid w:val="007A6FEC"/>
    <w:rsid w:val="007A7E8E"/>
    <w:rsid w:val="007B1F59"/>
    <w:rsid w:val="007B2F07"/>
    <w:rsid w:val="007B5D4E"/>
    <w:rsid w:val="007C52A7"/>
    <w:rsid w:val="007E747E"/>
    <w:rsid w:val="0080717A"/>
    <w:rsid w:val="00811973"/>
    <w:rsid w:val="00821762"/>
    <w:rsid w:val="00843007"/>
    <w:rsid w:val="00847101"/>
    <w:rsid w:val="008521AD"/>
    <w:rsid w:val="0086516E"/>
    <w:rsid w:val="00867DFA"/>
    <w:rsid w:val="0087457F"/>
    <w:rsid w:val="00876112"/>
    <w:rsid w:val="00882DBE"/>
    <w:rsid w:val="008974DA"/>
    <w:rsid w:val="008A3F84"/>
    <w:rsid w:val="008D0F7D"/>
    <w:rsid w:val="008E3AB4"/>
    <w:rsid w:val="008F51B8"/>
    <w:rsid w:val="00907EC8"/>
    <w:rsid w:val="00931DDC"/>
    <w:rsid w:val="009367C8"/>
    <w:rsid w:val="00936859"/>
    <w:rsid w:val="009452FC"/>
    <w:rsid w:val="00960070"/>
    <w:rsid w:val="00963723"/>
    <w:rsid w:val="00970B83"/>
    <w:rsid w:val="009820AA"/>
    <w:rsid w:val="00985112"/>
    <w:rsid w:val="00990E5F"/>
    <w:rsid w:val="009B05F6"/>
    <w:rsid w:val="009B39AD"/>
    <w:rsid w:val="009C075A"/>
    <w:rsid w:val="009D5954"/>
    <w:rsid w:val="009D68A0"/>
    <w:rsid w:val="00A0547A"/>
    <w:rsid w:val="00A10BE4"/>
    <w:rsid w:val="00A10F46"/>
    <w:rsid w:val="00A1592A"/>
    <w:rsid w:val="00A16F7F"/>
    <w:rsid w:val="00A54589"/>
    <w:rsid w:val="00A819D1"/>
    <w:rsid w:val="00A8626A"/>
    <w:rsid w:val="00A8670B"/>
    <w:rsid w:val="00A90FDF"/>
    <w:rsid w:val="00AA6915"/>
    <w:rsid w:val="00AA6C99"/>
    <w:rsid w:val="00AB2D75"/>
    <w:rsid w:val="00AB6810"/>
    <w:rsid w:val="00AC2A0F"/>
    <w:rsid w:val="00AD6AFF"/>
    <w:rsid w:val="00AD7906"/>
    <w:rsid w:val="00AF63B4"/>
    <w:rsid w:val="00B04CD4"/>
    <w:rsid w:val="00B177A2"/>
    <w:rsid w:val="00B25169"/>
    <w:rsid w:val="00B27DB0"/>
    <w:rsid w:val="00B30862"/>
    <w:rsid w:val="00B31FD6"/>
    <w:rsid w:val="00B3425F"/>
    <w:rsid w:val="00B43542"/>
    <w:rsid w:val="00B51EB1"/>
    <w:rsid w:val="00B63D47"/>
    <w:rsid w:val="00B65048"/>
    <w:rsid w:val="00B87326"/>
    <w:rsid w:val="00B962A2"/>
    <w:rsid w:val="00B97E10"/>
    <w:rsid w:val="00BA63E9"/>
    <w:rsid w:val="00BA64CA"/>
    <w:rsid w:val="00BA6CD6"/>
    <w:rsid w:val="00BC017A"/>
    <w:rsid w:val="00BD7784"/>
    <w:rsid w:val="00BE1FDB"/>
    <w:rsid w:val="00BE52A6"/>
    <w:rsid w:val="00C034E2"/>
    <w:rsid w:val="00C04539"/>
    <w:rsid w:val="00C0485F"/>
    <w:rsid w:val="00C6199F"/>
    <w:rsid w:val="00C630E8"/>
    <w:rsid w:val="00C71CE1"/>
    <w:rsid w:val="00C7208A"/>
    <w:rsid w:val="00C726CB"/>
    <w:rsid w:val="00C87173"/>
    <w:rsid w:val="00CA5D35"/>
    <w:rsid w:val="00CD0204"/>
    <w:rsid w:val="00CD3980"/>
    <w:rsid w:val="00CE4669"/>
    <w:rsid w:val="00CE7FD0"/>
    <w:rsid w:val="00D01EA6"/>
    <w:rsid w:val="00D03325"/>
    <w:rsid w:val="00D104E0"/>
    <w:rsid w:val="00D11E23"/>
    <w:rsid w:val="00D13701"/>
    <w:rsid w:val="00D3085C"/>
    <w:rsid w:val="00D30D77"/>
    <w:rsid w:val="00D43282"/>
    <w:rsid w:val="00D503F8"/>
    <w:rsid w:val="00D5046A"/>
    <w:rsid w:val="00D50ED2"/>
    <w:rsid w:val="00D6423E"/>
    <w:rsid w:val="00D67CBF"/>
    <w:rsid w:val="00D71E98"/>
    <w:rsid w:val="00D72779"/>
    <w:rsid w:val="00D91A09"/>
    <w:rsid w:val="00DA1BDC"/>
    <w:rsid w:val="00DB00DE"/>
    <w:rsid w:val="00DB36EE"/>
    <w:rsid w:val="00DC5B88"/>
    <w:rsid w:val="00E00281"/>
    <w:rsid w:val="00E024D1"/>
    <w:rsid w:val="00E04AAD"/>
    <w:rsid w:val="00E1192E"/>
    <w:rsid w:val="00E11EB6"/>
    <w:rsid w:val="00E21B6A"/>
    <w:rsid w:val="00E37E20"/>
    <w:rsid w:val="00E40920"/>
    <w:rsid w:val="00E5046A"/>
    <w:rsid w:val="00E540FF"/>
    <w:rsid w:val="00E65582"/>
    <w:rsid w:val="00E7553A"/>
    <w:rsid w:val="00E8500D"/>
    <w:rsid w:val="00E853A4"/>
    <w:rsid w:val="00E91624"/>
    <w:rsid w:val="00E95CD5"/>
    <w:rsid w:val="00E97F40"/>
    <w:rsid w:val="00EA2131"/>
    <w:rsid w:val="00EB62C0"/>
    <w:rsid w:val="00EF1E0A"/>
    <w:rsid w:val="00EF4CAC"/>
    <w:rsid w:val="00EF629C"/>
    <w:rsid w:val="00F076EF"/>
    <w:rsid w:val="00F15A3B"/>
    <w:rsid w:val="00F50441"/>
    <w:rsid w:val="00F6046D"/>
    <w:rsid w:val="00F66F22"/>
    <w:rsid w:val="00F80218"/>
    <w:rsid w:val="00F85225"/>
    <w:rsid w:val="00FB057F"/>
    <w:rsid w:val="00FB314F"/>
    <w:rsid w:val="00FC26A1"/>
    <w:rsid w:val="00FC5D10"/>
    <w:rsid w:val="00FE27B8"/>
    <w:rsid w:val="00FE5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275BBD4"/>
  <w15:docId w15:val="{CD4C2909-1480-4442-AD5B-88DAEFEE8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EC8"/>
    <w:rPr>
      <w:rFonts w:ascii="Times New Roman" w:hAnsi="Times New Roman"/>
      <w:sz w:val="24"/>
      <w:szCs w:val="24"/>
    </w:rPr>
  </w:style>
  <w:style w:type="paragraph" w:styleId="Heading2">
    <w:name w:val="heading 2"/>
    <w:basedOn w:val="Normal"/>
    <w:next w:val="Normal"/>
    <w:link w:val="Heading2Char"/>
    <w:qFormat/>
    <w:rsid w:val="00907EC8"/>
    <w:pPr>
      <w:keepNext/>
      <w:tabs>
        <w:tab w:val="left" w:pos="2160"/>
      </w:tabs>
      <w:autoSpaceDE w:val="0"/>
      <w:autoSpaceDN w:val="0"/>
      <w:adjustRightInd w:val="0"/>
      <w:outlineLvl w:val="1"/>
    </w:pPr>
    <w:rPr>
      <w:rFonts w:ascii="Courier New" w:hAnsi="Courier New" w:cs="CG Times"/>
      <w:sz w:val="100"/>
      <w:szCs w:val="100"/>
      <w:u w:val="single"/>
    </w:rPr>
  </w:style>
  <w:style w:type="paragraph" w:styleId="Heading3">
    <w:name w:val="heading 3"/>
    <w:basedOn w:val="Normal"/>
    <w:next w:val="Normal"/>
    <w:link w:val="Heading3Char"/>
    <w:qFormat/>
    <w:rsid w:val="00907EC8"/>
    <w:pPr>
      <w:keepNext/>
      <w:autoSpaceDE w:val="0"/>
      <w:autoSpaceDN w:val="0"/>
      <w:adjustRightInd w:val="0"/>
      <w:spacing w:line="320" w:lineRule="exact"/>
      <w:outlineLvl w:val="2"/>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907EC8"/>
    <w:rPr>
      <w:rFonts w:ascii="Courier New" w:hAnsi="Courier New" w:cs="CG Times"/>
      <w:sz w:val="100"/>
      <w:szCs w:val="100"/>
      <w:u w:val="single"/>
    </w:rPr>
  </w:style>
  <w:style w:type="character" w:customStyle="1" w:styleId="Heading3Char">
    <w:name w:val="Heading 3 Char"/>
    <w:basedOn w:val="DefaultParagraphFont"/>
    <w:link w:val="Heading3"/>
    <w:locked/>
    <w:rsid w:val="00907EC8"/>
    <w:rPr>
      <w:rFonts w:ascii="Times New Roman" w:hAnsi="Times New Roman" w:cs="Times New Roman"/>
      <w:sz w:val="32"/>
      <w:szCs w:val="32"/>
    </w:rPr>
  </w:style>
  <w:style w:type="character" w:styleId="Hyperlink">
    <w:name w:val="Hyperlink"/>
    <w:basedOn w:val="DefaultParagraphFont"/>
    <w:rsid w:val="00907EC8"/>
    <w:rPr>
      <w:rFonts w:cs="Times New Roman"/>
      <w:color w:val="0000FF"/>
      <w:u w:val="single"/>
    </w:rPr>
  </w:style>
  <w:style w:type="paragraph" w:styleId="Footer">
    <w:name w:val="footer"/>
    <w:basedOn w:val="Normal"/>
    <w:link w:val="FooterChar"/>
    <w:rsid w:val="00907EC8"/>
    <w:pPr>
      <w:tabs>
        <w:tab w:val="center" w:pos="4320"/>
        <w:tab w:val="right" w:pos="8640"/>
      </w:tabs>
    </w:pPr>
  </w:style>
  <w:style w:type="character" w:customStyle="1" w:styleId="FooterChar">
    <w:name w:val="Footer Char"/>
    <w:basedOn w:val="DefaultParagraphFont"/>
    <w:link w:val="Footer"/>
    <w:locked/>
    <w:rsid w:val="00907EC8"/>
    <w:rPr>
      <w:rFonts w:ascii="Times New Roman" w:hAnsi="Times New Roman" w:cs="Times New Roman"/>
      <w:sz w:val="24"/>
      <w:szCs w:val="24"/>
    </w:rPr>
  </w:style>
  <w:style w:type="character" w:styleId="PageNumber">
    <w:name w:val="page number"/>
    <w:basedOn w:val="DefaultParagraphFont"/>
    <w:rsid w:val="00907EC8"/>
    <w:rPr>
      <w:rFonts w:cs="Times New Roman"/>
    </w:rPr>
  </w:style>
  <w:style w:type="paragraph" w:styleId="ListParagraph">
    <w:name w:val="List Paragraph"/>
    <w:basedOn w:val="Normal"/>
    <w:qFormat/>
    <w:rsid w:val="00907EC8"/>
    <w:pPr>
      <w:ind w:left="720"/>
    </w:pPr>
  </w:style>
  <w:style w:type="paragraph" w:styleId="NoSpacing">
    <w:name w:val="No Spacing"/>
    <w:qFormat/>
    <w:rsid w:val="00907EC8"/>
    <w:rPr>
      <w:rFonts w:eastAsia="Times New Roman"/>
      <w:sz w:val="22"/>
      <w:szCs w:val="22"/>
    </w:rPr>
  </w:style>
  <w:style w:type="paragraph" w:styleId="Header">
    <w:name w:val="header"/>
    <w:basedOn w:val="Normal"/>
    <w:link w:val="HeaderChar"/>
    <w:uiPriority w:val="99"/>
    <w:rsid w:val="00BA63E9"/>
    <w:pPr>
      <w:tabs>
        <w:tab w:val="center" w:pos="4680"/>
        <w:tab w:val="right" w:pos="9360"/>
      </w:tabs>
    </w:pPr>
  </w:style>
  <w:style w:type="character" w:customStyle="1" w:styleId="HeaderChar">
    <w:name w:val="Header Char"/>
    <w:basedOn w:val="DefaultParagraphFont"/>
    <w:link w:val="Header"/>
    <w:uiPriority w:val="99"/>
    <w:locked/>
    <w:rsid w:val="00BA63E9"/>
    <w:rPr>
      <w:rFonts w:ascii="Times New Roman" w:hAnsi="Times New Roman" w:cs="Times New Roman"/>
      <w:sz w:val="24"/>
      <w:szCs w:val="24"/>
    </w:rPr>
  </w:style>
  <w:style w:type="paragraph" w:styleId="BalloonText">
    <w:name w:val="Balloon Text"/>
    <w:basedOn w:val="Normal"/>
    <w:link w:val="BalloonTextChar"/>
    <w:semiHidden/>
    <w:rsid w:val="00287960"/>
    <w:rPr>
      <w:rFonts w:ascii="Tahoma" w:hAnsi="Tahoma" w:cs="Tahoma"/>
      <w:sz w:val="16"/>
      <w:szCs w:val="16"/>
    </w:rPr>
  </w:style>
  <w:style w:type="character" w:customStyle="1" w:styleId="BalloonTextChar">
    <w:name w:val="Balloon Text Char"/>
    <w:basedOn w:val="DefaultParagraphFont"/>
    <w:link w:val="BalloonText"/>
    <w:semiHidden/>
    <w:locked/>
    <w:rsid w:val="00D30D77"/>
    <w:rPr>
      <w:rFonts w:ascii="Times New Roman" w:hAnsi="Times New Roman" w:cs="Times New Roman"/>
      <w:sz w:val="2"/>
    </w:rPr>
  </w:style>
  <w:style w:type="character" w:styleId="CommentReference">
    <w:name w:val="annotation reference"/>
    <w:basedOn w:val="DefaultParagraphFont"/>
    <w:rsid w:val="00CD0204"/>
    <w:rPr>
      <w:sz w:val="16"/>
      <w:szCs w:val="16"/>
    </w:rPr>
  </w:style>
  <w:style w:type="paragraph" w:styleId="CommentText">
    <w:name w:val="annotation text"/>
    <w:basedOn w:val="Normal"/>
    <w:link w:val="CommentTextChar"/>
    <w:rsid w:val="00CD0204"/>
    <w:rPr>
      <w:sz w:val="20"/>
      <w:szCs w:val="20"/>
    </w:rPr>
  </w:style>
  <w:style w:type="character" w:customStyle="1" w:styleId="CommentTextChar">
    <w:name w:val="Comment Text Char"/>
    <w:basedOn w:val="DefaultParagraphFont"/>
    <w:link w:val="CommentText"/>
    <w:rsid w:val="00CD0204"/>
    <w:rPr>
      <w:rFonts w:ascii="Times New Roman" w:hAnsi="Times New Roman"/>
    </w:rPr>
  </w:style>
  <w:style w:type="paragraph" w:styleId="CommentSubject">
    <w:name w:val="annotation subject"/>
    <w:basedOn w:val="CommentText"/>
    <w:next w:val="CommentText"/>
    <w:link w:val="CommentSubjectChar"/>
    <w:rsid w:val="00CD0204"/>
    <w:rPr>
      <w:b/>
      <w:bCs/>
    </w:rPr>
  </w:style>
  <w:style w:type="character" w:customStyle="1" w:styleId="CommentSubjectChar">
    <w:name w:val="Comment Subject Char"/>
    <w:basedOn w:val="CommentTextChar"/>
    <w:link w:val="CommentSubject"/>
    <w:rsid w:val="00CD0204"/>
    <w:rPr>
      <w:rFonts w:ascii="Times New Roman" w:hAnsi="Times New Roman"/>
      <w:b/>
      <w:bCs/>
    </w:rPr>
  </w:style>
  <w:style w:type="paragraph" w:styleId="Revision">
    <w:name w:val="Revision"/>
    <w:hidden/>
    <w:uiPriority w:val="99"/>
    <w:semiHidden/>
    <w:rsid w:val="00AC2A0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541093240">
      <w:bodyDiv w:val="1"/>
      <w:marLeft w:val="0"/>
      <w:marRight w:val="0"/>
      <w:marTop w:val="0"/>
      <w:marBottom w:val="0"/>
      <w:divBdr>
        <w:top w:val="none" w:sz="0" w:space="0" w:color="auto"/>
        <w:left w:val="none" w:sz="0" w:space="0" w:color="auto"/>
        <w:bottom w:val="none" w:sz="0" w:space="0" w:color="auto"/>
        <w:right w:val="none" w:sz="0" w:space="0" w:color="auto"/>
      </w:divBdr>
    </w:div>
    <w:div w:id="603656764">
      <w:bodyDiv w:val="1"/>
      <w:marLeft w:val="0"/>
      <w:marRight w:val="0"/>
      <w:marTop w:val="0"/>
      <w:marBottom w:val="0"/>
      <w:divBdr>
        <w:top w:val="none" w:sz="0" w:space="0" w:color="auto"/>
        <w:left w:val="none" w:sz="0" w:space="0" w:color="auto"/>
        <w:bottom w:val="none" w:sz="0" w:space="0" w:color="auto"/>
        <w:right w:val="none" w:sz="0" w:space="0" w:color="auto"/>
      </w:divBdr>
    </w:div>
    <w:div w:id="696664708">
      <w:bodyDiv w:val="1"/>
      <w:marLeft w:val="0"/>
      <w:marRight w:val="0"/>
      <w:marTop w:val="0"/>
      <w:marBottom w:val="0"/>
      <w:divBdr>
        <w:top w:val="none" w:sz="0" w:space="0" w:color="auto"/>
        <w:left w:val="none" w:sz="0" w:space="0" w:color="auto"/>
        <w:bottom w:val="none" w:sz="0" w:space="0" w:color="auto"/>
        <w:right w:val="none" w:sz="0" w:space="0" w:color="auto"/>
      </w:divBdr>
    </w:div>
    <w:div w:id="1608543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A3C55BACFE3C44A420786DE287DB81" ma:contentTypeVersion="9" ma:contentTypeDescription="Create a new document." ma:contentTypeScope="" ma:versionID="a1f22e13b404c77b079077e1a5bfb420">
  <xsd:schema xmlns:xsd="http://www.w3.org/2001/XMLSchema" xmlns:xs="http://www.w3.org/2001/XMLSchema" xmlns:p="http://schemas.microsoft.com/office/2006/metadata/properties" xmlns:ns1="http://schemas.microsoft.com/sharepoint/v3" targetNamespace="http://schemas.microsoft.com/office/2006/metadata/properties" ma:root="true" ma:fieldsID="e00d6e856316b04bbfd8642c332e56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DC2633-2510-4746-873C-1885E2C76ED5}"/>
</file>

<file path=customXml/itemProps2.xml><?xml version="1.0" encoding="utf-8"?>
<ds:datastoreItem xmlns:ds="http://schemas.openxmlformats.org/officeDocument/2006/customXml" ds:itemID="{441AF1B2-C97A-4FBE-AB48-D946837189D1}"/>
</file>

<file path=customXml/itemProps3.xml><?xml version="1.0" encoding="utf-8"?>
<ds:datastoreItem xmlns:ds="http://schemas.openxmlformats.org/officeDocument/2006/customXml" ds:itemID="{73E1316C-57DD-4507-AC93-F50BF70DE473}"/>
</file>

<file path=customXml/itemProps4.xml><?xml version="1.0" encoding="utf-8"?>
<ds:datastoreItem xmlns:ds="http://schemas.openxmlformats.org/officeDocument/2006/customXml" ds:itemID="{6C7118EA-3635-4308-BEE8-C77CC3E54D4B}"/>
</file>

<file path=docProps/app.xml><?xml version="1.0" encoding="utf-8"?>
<Properties xmlns="http://schemas.openxmlformats.org/officeDocument/2006/extended-properties" xmlns:vt="http://schemas.openxmlformats.org/officeDocument/2006/docPropsVTypes">
  <Template>Normal</Template>
  <TotalTime>17</TotalTime>
  <Pages>2</Pages>
  <Words>1178</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STATE OF MARYLAND</vt:lpstr>
    </vt:vector>
  </TitlesOfParts>
  <Company>Maryland board of nursing</Company>
  <LinksUpToDate>false</LinksUpToDate>
  <CharactersWithSpaces>7978</CharactersWithSpaces>
  <SharedDoc>false</SharedDoc>
  <HLinks>
    <vt:vector size="6" baseType="variant">
      <vt:variant>
        <vt:i4>6553615</vt:i4>
      </vt:variant>
      <vt:variant>
        <vt:i4>0</vt:i4>
      </vt:variant>
      <vt:variant>
        <vt:i4>0</vt:i4>
      </vt:variant>
      <vt:variant>
        <vt:i4>5</vt:i4>
      </vt:variant>
      <vt:variant>
        <vt:lpwstr>mailto:mark.luckner@maryland.gov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MARYLAND</dc:title>
  <dc:subject/>
  <dc:creator>mconti</dc:creator>
  <cp:keywords/>
  <dc:description/>
  <cp:lastModifiedBy>Moira A. Lawson</cp:lastModifiedBy>
  <cp:revision>6</cp:revision>
  <cp:lastPrinted>2018-07-12T12:16:00Z</cp:lastPrinted>
  <dcterms:created xsi:type="dcterms:W3CDTF">2018-10-09T12:46:00Z</dcterms:created>
  <dcterms:modified xsi:type="dcterms:W3CDTF">2018-10-09T13:42:00Z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0x010100C1A3C55BACFE3C44A420786DE287DB81</vt:lpwstr>
  </property>
</Properties>
</file>